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/>
          <w:color w:val="000000"/>
          <w:sz w:val="22"/>
        </w:rPr>
      </w:pPr>
    </w:p>
    <w:p>
      <w:pPr>
        <w:jc w:val="right"/>
        <w:rPr>
          <w:rFonts w:ascii="宋体"/>
          <w:color w:val="000000"/>
          <w:sz w:val="22"/>
          <w:u w:val="single"/>
        </w:rPr>
      </w:pPr>
    </w:p>
    <w:p>
      <w:pPr>
        <w:jc w:val="center"/>
        <w:rPr>
          <w:rFonts w:ascii="宋体" w:hAnsi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600" w:lineRule="exact"/>
        <w:ind w:left="55" w:leftChars="-101" w:hanging="267" w:hangingChars="74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市荣昌区人民医院</w:t>
      </w: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hint="default" w:ascii="仿宋_GB2312" w:hAnsi="仿宋_GB2312"/>
          <w:snapToGrid w:val="0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新院区部分搬迁服务</w:t>
      </w: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</w:p>
    <w:p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napToGrid w:val="0"/>
          <w:sz w:val="72"/>
          <w:szCs w:val="72"/>
        </w:rPr>
        <w:t>市场调研文件</w:t>
      </w:r>
    </w:p>
    <w:p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>
      <w:pPr>
        <w:adjustRightInd w:val="0"/>
        <w:spacing w:line="560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  <w:lang w:val="en-US" w:eastAsia="zh-CN"/>
        </w:rPr>
        <w:t>市荣昌区人民医院</w:t>
      </w:r>
    </w:p>
    <w:p>
      <w:pPr>
        <w:adjustRightInd w:val="0"/>
        <w:spacing w:line="560" w:lineRule="atLeast"/>
        <w:jc w:val="center"/>
        <w:rPr>
          <w:snapToGrid w:val="0"/>
          <w:color w:val="000000"/>
          <w:sz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</w:rPr>
        <w:t>二〇二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</w:rPr>
        <w:t>月</w:t>
      </w:r>
    </w:p>
    <w:p>
      <w:pPr>
        <w:jc w:val="center"/>
        <w:rPr>
          <w:rFonts w:ascii="宋体"/>
          <w:color w:val="000000"/>
          <w:sz w:val="36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23"/>
        <w:tblpPr w:leftFromText="180" w:rightFromText="180" w:vertAnchor="text" w:tblpXSpec="center" w:tblpY="1"/>
        <w:tblOverlap w:val="never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074"/>
        <w:gridCol w:w="8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项号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51" w:type="dxa"/>
            <w:vAlign w:val="center"/>
          </w:tcPr>
          <w:p>
            <w:pPr>
              <w:pStyle w:val="1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pStyle w:val="15"/>
              <w:rPr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600" w:lineRule="exact"/>
              <w:ind w:left="67" w:leftChars="32" w:firstLine="70" w:firstLineChars="25"/>
              <w:jc w:val="both"/>
              <w:textAlignment w:val="auto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  <w:t>重庆市荣昌区人民医院新院区部分搬迁服务</w:t>
            </w:r>
          </w:p>
          <w:p>
            <w:pPr>
              <w:snapToGrid w:val="0"/>
              <w:ind w:left="34" w:leftChars="16" w:right="-128" w:rightChars="-61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5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项目概况：我院拟于近期采购老院区至新院区</w:t>
            </w:r>
            <w:r>
              <w:rPr>
                <w:rFonts w:hint="eastAsia" w:asci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部分</w:t>
            </w: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搬迁服务，</w:t>
            </w:r>
            <w:r>
              <w:rPr>
                <w:rFonts w:hint="eastAsia" w:asci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搬迁区域包含行政楼（2至5楼）、应急中心、物资库房、报废库房。</w:t>
            </w: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搬迁服务主要为将医院各科室物资、设备</w:t>
            </w:r>
            <w:r>
              <w:rPr>
                <w:rFonts w:hint="eastAsia" w:asci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（不包含大型医疗设备）</w:t>
            </w: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等由重庆市荣昌区人民医院老院区（各院区）搬运至新院区。</w:t>
            </w:r>
          </w:p>
          <w:p>
            <w:pPr>
              <w:pStyle w:val="35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总体要求：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1.确保重庆市荣昌区人民医院日常工作中断最小化。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2保证搬迁过程中所有物资不得遗失、损毁等。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3对于多组件仪器设备须保证各个组件的完整性，不得发生组件的遗失、损毁等。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4医疗设备和信息设备的搬运须严格按照医学装备科、信息科的要求进行搬迁。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5搬迁过程做好仪器设备保护，确保所搬运的易碎物资、仪器设备等不能发生破损。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6 所有物品搬迁到相应科室所在位置，不造成新院区设施设备、地面、墙面的损坏、脏污等。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7整个搬迁项目必须遵守安全第一的原则，遵守安全生产有关管理规定、交通运输安全及其他相关安全管理制度，严格按安全操作规程进行搬运，并随时接受行业安全检查人员依法实施的监督检查，采取必要的安全防护措施，消除事故隐患。</w:t>
            </w:r>
          </w:p>
          <w:p>
            <w:pPr>
              <w:pStyle w:val="35"/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5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搬迁技术要求</w:t>
            </w:r>
          </w:p>
          <w:p>
            <w:pPr>
              <w:widowControl/>
              <w:spacing w:line="48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1设备、物资的拆装：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1.1供应商须提供设备、物资的打包、装箱、装车、运输、卸车，货架、家具、信息设备等设备、物资的拆卸、安装、恢复等服务以及其他资产在搬运过程中对门/窗/墙/台面/层架/家具等的拆除、复原、移动、维修等工作，并确保整个搬迁过程所有资产的安全，搬迁工作完成后仪器设备能恢复到原使用状态，并在物资搬运后负责清理因拆卸产生的各种垃圾（含建筑垃圾）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1.2拆装：在物资所属科室人员的陪同下，对需要拆装的总务物资、信息设备提供专业拆装服务，安排专业人员负责拆装，拆卸后须对物资及相关配件进行详细标注及登记，搬运至新院后按照科室人员的要求进行安装。不含各类医疗设备（仪器）拆装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1.3包装：提供所有搬迁用包装材料（包括易损、精密仪器的单独包装），对所有搬迁物资进行必要的包装保护，确保在搬运过程中不会因为未包装而造成破损或刮擦，包装外需张贴物品标识单（供应商提供）。包装材料应选用环保可回收材料，包括但不限于使用弹性材料、防震材料、膜材料、纸箱、各类包装带及胶带等；搬迁项目作业期间应保证包装材料的干燥，且在运输过程中做好防水处理工作；包装箱应与搬运物资的尺寸相匹配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2物资的运输：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2.1运输车辆应为符合交通管理条例的货物运输车辆，须确保车辆状况良好、保险有效、年检合格且按期完成维护保养，应满足各种仪器设备对运输的要求。承担搬运的公司应具有相应有效的搬运资质</w:t>
            </w:r>
            <w:r>
              <w:rPr>
                <w:rFonts w:hint="eastAsia" w:ascii="宋体" w:hAnsi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2.2车辆、机械设备配置应干净、整洁、数量充足，应根据搬运物资的搬运要求（如防水、减震、防震、防倾斜等），合理安排运输车辆，运输车辆须随带防雨、固定装置、填充物及隔离器材等。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2.3对可能需要用到的各种搬运设备和工具，由供应商提供，所有现场作业需用到的设备、工具须保证干净且具备检验合格证书，操作人员应具备相应的操作证书，并严格按照国家规定进行操作。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2.4采用环保材料对迁进和迁出场所的地面、墙面、桌面、设施设备进行保护，防止在搬迁过程中对地面、墙面、桌面、设施设备的划伤、碰伤，特别是重型物资、设备的搬运要对新院区地面进行特殊防护，如用木板等材料进行保护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2.5对无法正常迁出或迁进的物资，供应商与医院协商后可采用专业、合理措施迁移，所产生的费用供应商自行考虑进入报价。</w:t>
            </w:r>
          </w:p>
          <w:p>
            <w:pPr>
              <w:widowControl/>
              <w:spacing w:line="480" w:lineRule="exact"/>
              <w:ind w:firstLine="572" w:firstLineChars="200"/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>3档案、文件类纸质资料：根据档案管理办法的档案保密制度，要严格贯彻执行党和国家保密制度，确保档案机密，维护档案安全。纸质资料搬迁由供应商提供包装盒及标识单，相关科室自行打包，科室人员登记编号，监督装车搬运，保证资料摆放整齐仔细，不可损坏、丢失。病案资料、标本柜等需按照编号顺序依次摆放，符合院方要求。</w:t>
            </w:r>
          </w:p>
          <w:p>
            <w:pPr>
              <w:pStyle w:val="2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pacing w:val="23"/>
                <w:kern w:val="0"/>
                <w:sz w:val="24"/>
                <w:szCs w:val="24"/>
                <w:lang w:val="en-US" w:eastAsia="zh-CN" w:bidi="ar"/>
              </w:rPr>
              <w:t xml:space="preserve"> 4、物资库房、报废库房物资存放按科室及类别（报废资产（家具、电器等）及非报废资产（再次使用、待报废））分别摆放整齐。</w:t>
            </w:r>
          </w:p>
          <w:p>
            <w:pPr>
              <w:pStyle w:val="35"/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pacing w:val="23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工作要求（包括但不限于）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spacing w:line="240" w:lineRule="auto"/>
              <w:ind w:firstLine="39" w:firstLineChars="14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bookmarkStart w:id="0" w:name="_Toc520479171"/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 w:eastAsia="zh-CN" w:bidi="ar-SA"/>
              </w:rPr>
              <w:t>参与调研的单位根据现场情况自行拟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zh-CN" w:eastAsia="zh-CN" w:bidi="ar-SA"/>
              </w:rPr>
              <w:t>定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搬迁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zh-CN" w:eastAsia="zh-CN" w:bidi="ar-SA"/>
              </w:rPr>
              <w:t>服</w:t>
            </w: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zh-CN" w:eastAsia="zh-CN" w:bidi="ar-SA"/>
              </w:rPr>
              <w:t>务方案</w:t>
            </w:r>
            <w:bookmarkEnd w:id="0"/>
            <w:r>
              <w:rPr>
                <w:rFonts w:hint="eastAsia" w:cs="Times New Roman"/>
                <w:kern w:val="0"/>
                <w:sz w:val="28"/>
                <w:szCs w:val="28"/>
                <w:lang w:val="en-US" w:eastAsia="zh-CN" w:bidi="ar-SA"/>
              </w:rPr>
              <w:t>及报价。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  <w:t>参与人条件</w:t>
            </w:r>
          </w:p>
        </w:tc>
        <w:tc>
          <w:tcPr>
            <w:tcW w:w="8394" w:type="dxa"/>
            <w:vAlign w:val="center"/>
          </w:tcPr>
          <w:p>
            <w:pPr>
              <w:ind w:right="-250" w:rightChars="-119" w:firstLine="39" w:firstLineChars="14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（一）基本资格条件</w:t>
            </w:r>
          </w:p>
          <w:p>
            <w:pPr>
              <w:ind w:right="-250" w:rightChars="-119" w:firstLine="39" w:firstLineChars="14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（1）具有独立承担民事责任的能力；</w:t>
            </w:r>
          </w:p>
          <w:p>
            <w:pPr>
              <w:ind w:right="-250" w:rightChars="-119" w:firstLine="39" w:firstLineChars="14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（2）具有良好的商业信誉和健全的财务会计制度；</w:t>
            </w:r>
          </w:p>
          <w:p>
            <w:pPr>
              <w:ind w:right="-250" w:rightChars="-119" w:firstLine="39" w:firstLineChars="14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（3）具有履行合同所必需的设备、专业技术能力；</w:t>
            </w:r>
          </w:p>
          <w:p>
            <w:pPr>
              <w:ind w:right="-250" w:rightChars="-119" w:firstLine="39" w:firstLineChars="14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（4）有依法缴纳税收和社会保障资金的良好记录；</w:t>
            </w:r>
          </w:p>
          <w:p>
            <w:pPr>
              <w:ind w:right="-250" w:rightChars="-119" w:firstLine="39" w:firstLineChars="14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（5）参加本项目活动前三年内，在经营活动 中没有重大违法记录；</w:t>
            </w:r>
          </w:p>
          <w:p>
            <w:pPr>
              <w:ind w:right="-250" w:rightChars="-119" w:firstLine="39" w:firstLineChars="14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（6）法律、行政法规规定的其他条件。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必备证件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提供</w:t>
            </w:r>
            <w:r>
              <w:rPr>
                <w:color w:val="auto"/>
                <w:sz w:val="28"/>
                <w:szCs w:val="28"/>
              </w:rPr>
              <w:t>企业营业执照</w:t>
            </w:r>
            <w:r>
              <w:rPr>
                <w:rFonts w:hint="eastAsia"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</w:t>
            </w:r>
            <w:r>
              <w:rPr>
                <w:sz w:val="28"/>
                <w:szCs w:val="28"/>
              </w:rPr>
              <w:t>包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■</w:t>
            </w:r>
            <w:r>
              <w:rPr>
                <w:color w:val="auto"/>
                <w:sz w:val="28"/>
                <w:szCs w:val="28"/>
              </w:rPr>
              <w:t>不允许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调研文件组成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调研文件</w:t>
            </w:r>
            <w:r>
              <w:rPr>
                <w:rFonts w:hint="eastAsia"/>
                <w:b/>
                <w:color w:val="auto"/>
                <w:sz w:val="28"/>
                <w:szCs w:val="28"/>
                <w:lang w:eastAsia="zh-CN"/>
              </w:rPr>
              <w:t>一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份</w:t>
            </w:r>
          </w:p>
          <w:p>
            <w:pPr>
              <w:pStyle w:val="35"/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1、报价书</w:t>
            </w:r>
          </w:p>
          <w:p>
            <w:pPr>
              <w:pStyle w:val="35"/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2、公司基本情况表</w:t>
            </w:r>
          </w:p>
          <w:p>
            <w:pPr>
              <w:pStyle w:val="35"/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3、资格证明材料：</w:t>
            </w:r>
            <w:r>
              <w:rPr>
                <w:color w:val="auto"/>
                <w:sz w:val="28"/>
                <w:szCs w:val="28"/>
              </w:rPr>
              <w:t>企业营业执照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color w:val="auto"/>
                <w:sz w:val="28"/>
                <w:szCs w:val="28"/>
              </w:rPr>
              <w:t>以上复印件需加盖公章（原件备查）。</w:t>
            </w:r>
          </w:p>
          <w:p>
            <w:pPr>
              <w:pStyle w:val="35"/>
              <w:spacing w:line="240" w:lineRule="auto"/>
              <w:ind w:firstLine="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4、公司类似业绩</w:t>
            </w:r>
          </w:p>
          <w:p>
            <w:pPr>
              <w:pStyle w:val="35"/>
              <w:spacing w:line="240" w:lineRule="auto"/>
              <w:ind w:firstLine="0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5、搬迁方案</w:t>
            </w:r>
          </w:p>
          <w:p>
            <w:pPr>
              <w:pStyle w:val="35"/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是否退还文件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■</w:t>
            </w:r>
            <w:r>
              <w:rPr>
                <w:color w:val="auto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7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联系人及方式</w:t>
            </w:r>
          </w:p>
        </w:tc>
        <w:tc>
          <w:tcPr>
            <w:tcW w:w="8394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联系地址：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重庆市荣昌区人民医院行政楼2楼总务科4</w:t>
            </w:r>
            <w:bookmarkStart w:id="1" w:name="_GoBack"/>
            <w:bookmarkEnd w:id="1"/>
          </w:p>
          <w:p>
            <w:pPr>
              <w:pStyle w:val="35"/>
              <w:spacing w:line="240" w:lineRule="auto"/>
              <w:ind w:firstLine="0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 系 人：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马女士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联系电话：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15111985431</w:t>
            </w:r>
          </w:p>
          <w:p>
            <w:pPr>
              <w:pStyle w:val="35"/>
              <w:spacing w:line="240" w:lineRule="auto"/>
              <w:ind w:firstLine="0"/>
              <w:rPr>
                <w:rFonts w:hint="default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因库房物资无法统计，必须现场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勘察</w:t>
            </w:r>
          </w:p>
          <w:p>
            <w:pPr>
              <w:pStyle w:val="35"/>
              <w:spacing w:line="240" w:lineRule="auto"/>
              <w:ind w:firstLine="0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现场勘察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时间：</w:t>
            </w:r>
          </w:p>
          <w:p>
            <w:pPr>
              <w:pStyle w:val="35"/>
              <w:spacing w:line="240" w:lineRule="auto"/>
              <w:ind w:firstLine="0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2025年10月24日 14:30</w:t>
            </w:r>
          </w:p>
          <w:p>
            <w:pPr>
              <w:pStyle w:val="35"/>
              <w:spacing w:line="240" w:lineRule="auto"/>
              <w:ind w:firstLine="0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pStyle w:val="35"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调研文件递交时间</w:t>
            </w:r>
          </w:p>
        </w:tc>
        <w:tc>
          <w:tcPr>
            <w:tcW w:w="8394" w:type="dxa"/>
            <w:shd w:val="clear" w:color="auto" w:fill="auto"/>
            <w:vAlign w:val="center"/>
          </w:tcPr>
          <w:p>
            <w:pPr>
              <w:pStyle w:val="35"/>
              <w:spacing w:line="240" w:lineRule="auto"/>
              <w:ind w:firstLine="0" w:firstLineChars="0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截止时间为2025年10 月27日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dxa"/>
            <w:vAlign w:val="center"/>
          </w:tcPr>
          <w:p>
            <w:pPr>
              <w:pStyle w:val="35"/>
              <w:spacing w:line="240" w:lineRule="auto"/>
              <w:ind w:firstLine="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74" w:type="dxa"/>
            <w:shd w:val="clear" w:color="auto" w:fill="auto"/>
            <w:vAlign w:val="center"/>
          </w:tcPr>
          <w:p>
            <w:pPr>
              <w:pStyle w:val="35"/>
              <w:spacing w:line="240" w:lineRule="auto"/>
              <w:ind w:firstLine="0" w:firstLineChars="0"/>
              <w:rPr>
                <w:rFonts w:hint="default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调研文件递交地点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及邮箱</w:t>
            </w:r>
          </w:p>
        </w:tc>
        <w:tc>
          <w:tcPr>
            <w:tcW w:w="8394" w:type="dxa"/>
            <w:shd w:val="clear" w:color="auto" w:fill="auto"/>
            <w:vAlign w:val="center"/>
          </w:tcPr>
          <w:p>
            <w:pPr>
              <w:pStyle w:val="35"/>
              <w:spacing w:line="240" w:lineRule="auto"/>
              <w:ind w:firstLine="0" w:firstLineChars="0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地点：重庆市荣昌区人民医院行政楼2楼总务科4；</w:t>
            </w:r>
          </w:p>
          <w:p>
            <w:pPr>
              <w:pStyle w:val="35"/>
              <w:spacing w:line="240" w:lineRule="auto"/>
              <w:ind w:left="0" w:leftChars="0" w:firstLine="0" w:firstLineChars="0"/>
              <w:rPr>
                <w:rFonts w:hint="default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邮箱：472870167@qq.com</w:t>
            </w:r>
          </w:p>
        </w:tc>
      </w:tr>
    </w:tbl>
    <w:p>
      <w:pPr>
        <w:pStyle w:val="35"/>
        <w:ind w:firstLine="0"/>
        <w:rPr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_GB2312" w:hAnsi="宋体" w:eastAsia="仿宋_GB2312"/>
          <w:kern w:val="0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附件：</w:t>
      </w:r>
    </w:p>
    <w:p>
      <w:pPr>
        <w:spacing w:line="360" w:lineRule="auto"/>
        <w:rPr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报价书（格式）</w:t>
      </w:r>
    </w:p>
    <w:p>
      <w:pPr>
        <w:pStyle w:val="36"/>
        <w:spacing w:before="120" w:after="120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>
      <w:pPr>
        <w:pStyle w:val="35"/>
        <w:spacing w:line="360" w:lineRule="auto"/>
        <w:ind w:firstLine="539"/>
        <w:rPr>
          <w:sz w:val="28"/>
          <w:szCs w:val="28"/>
        </w:rPr>
      </w:pPr>
    </w:p>
    <w:p>
      <w:pPr>
        <w:pStyle w:val="35"/>
        <w:spacing w:line="360" w:lineRule="auto"/>
        <w:ind w:firstLine="539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致：重庆</w:t>
      </w:r>
      <w:r>
        <w:rPr>
          <w:rFonts w:hint="eastAsia"/>
          <w:sz w:val="28"/>
          <w:szCs w:val="28"/>
          <w:lang w:val="en-US" w:eastAsia="zh-CN"/>
        </w:rPr>
        <w:t>市荣昌区人民医院</w:t>
      </w:r>
    </w:p>
    <w:p>
      <w:pPr>
        <w:pStyle w:val="35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项目调研文件的全部内容。我们已完全理解了调研文件规定的合同范围、要求，并考虑到了潜在所有风险。据此，我们承诺结合本项目特点及我方实际情况，按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下标准标价。</w:t>
      </w:r>
    </w:p>
    <w:p>
      <w:pPr>
        <w:pStyle w:val="35"/>
        <w:tabs>
          <w:tab w:val="clear" w:pos="1620"/>
        </w:tabs>
        <w:spacing w:line="360" w:lineRule="auto"/>
        <w:ind w:left="840" w:hanging="840" w:hangingChars="300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重庆</w:t>
      </w:r>
      <w:r>
        <w:rPr>
          <w:rFonts w:hint="eastAsia"/>
          <w:sz w:val="28"/>
          <w:szCs w:val="28"/>
          <w:lang w:val="en-US" w:eastAsia="zh-CN"/>
        </w:rPr>
        <w:t>市荣昌区人民医院新</w:t>
      </w:r>
      <w:r>
        <w:rPr>
          <w:rFonts w:hint="eastAsia"/>
          <w:sz w:val="28"/>
          <w:szCs w:val="28"/>
        </w:rPr>
        <w:t>院区</w:t>
      </w:r>
      <w:r>
        <w:rPr>
          <w:rFonts w:hint="eastAsia" w:cs="Times New Roman"/>
          <w:sz w:val="28"/>
          <w:szCs w:val="28"/>
          <w:lang w:val="en-US" w:eastAsia="zh-CN"/>
        </w:rPr>
        <w:t>部分搬迁</w:t>
      </w:r>
      <w:r>
        <w:rPr>
          <w:rFonts w:hint="eastAsia" w:hAnsi="宋体" w:cs="Times New Roman"/>
          <w:sz w:val="28"/>
          <w:szCs w:val="28"/>
          <w:lang w:val="en-US" w:eastAsia="zh-CN"/>
        </w:rPr>
        <w:t>服务</w:t>
      </w:r>
      <w:r>
        <w:rPr>
          <w:sz w:val="28"/>
          <w:szCs w:val="28"/>
        </w:rPr>
        <w:t>费用为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价格组成明细表如下（格式自拟）</w:t>
      </w:r>
    </w:p>
    <w:p>
      <w:pPr>
        <w:pStyle w:val="35"/>
        <w:spacing w:line="360" w:lineRule="auto"/>
        <w:ind w:firstLine="539"/>
        <w:rPr>
          <w:sz w:val="28"/>
          <w:szCs w:val="28"/>
        </w:rPr>
      </w:pPr>
    </w:p>
    <w:p>
      <w:pPr>
        <w:pStyle w:val="35"/>
        <w:spacing w:line="360" w:lineRule="auto"/>
        <w:ind w:firstLine="539"/>
        <w:rPr>
          <w:sz w:val="28"/>
          <w:szCs w:val="28"/>
        </w:rPr>
      </w:pPr>
    </w:p>
    <w:p>
      <w:pPr>
        <w:pStyle w:val="35"/>
        <w:spacing w:line="360" w:lineRule="auto"/>
        <w:ind w:firstLine="539"/>
        <w:rPr>
          <w:sz w:val="28"/>
          <w:szCs w:val="28"/>
        </w:rPr>
      </w:pPr>
    </w:p>
    <w:p>
      <w:pPr>
        <w:pStyle w:val="35"/>
        <w:spacing w:line="360" w:lineRule="auto"/>
        <w:ind w:firstLine="539"/>
        <w:rPr>
          <w:sz w:val="30"/>
          <w:szCs w:val="30"/>
        </w:rPr>
      </w:pPr>
    </w:p>
    <w:p>
      <w:pPr>
        <w:pStyle w:val="35"/>
        <w:spacing w:line="360" w:lineRule="auto"/>
        <w:ind w:firstLine="539"/>
        <w:rPr>
          <w:sz w:val="30"/>
          <w:szCs w:val="30"/>
        </w:rPr>
      </w:pPr>
    </w:p>
    <w:p>
      <w:pPr>
        <w:pStyle w:val="35"/>
        <w:rPr>
          <w:sz w:val="30"/>
          <w:szCs w:val="30"/>
        </w:rPr>
      </w:pPr>
      <w:r>
        <w:rPr>
          <w:rFonts w:hint="eastAsia"/>
          <w:sz w:val="30"/>
          <w:szCs w:val="30"/>
        </w:rPr>
        <w:t>调研单位（盖章）：</w:t>
      </w:r>
    </w:p>
    <w:p>
      <w:pPr>
        <w:pStyle w:val="35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>
      <w:pPr>
        <w:pStyle w:val="35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>
      <w:pPr>
        <w:pStyle w:val="35"/>
      </w:pPr>
    </w:p>
    <w:p>
      <w:pPr>
        <w:spacing w:line="360" w:lineRule="auto"/>
        <w:rPr>
          <w:kern w:val="0"/>
        </w:rPr>
      </w:pPr>
      <w:r>
        <w:rPr>
          <w:kern w:val="0"/>
        </w:rPr>
        <w:t xml:space="preserve"> 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sectPr>
      <w:footerReference r:id="rId8" w:type="default"/>
      <w:type w:val="continuous"/>
      <w:pgSz w:w="11907" w:h="16840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lotter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right="360"/>
      <w:jc w:val="center"/>
    </w:pPr>
    <w:r>
      <w:rPr>
        <w:rStyle w:val="26"/>
      </w:rPr>
      <w:fldChar w:fldCharType="begin"/>
    </w:r>
    <w:r>
      <w:rPr>
        <w:rStyle w:val="26"/>
      </w:rPr>
      <w:instrText xml:space="preserve"> PAGE </w:instrText>
    </w:r>
    <w:r>
      <w:rPr>
        <w:rStyle w:val="26"/>
      </w:rPr>
      <w:fldChar w:fldCharType="separate"/>
    </w:r>
    <w:r>
      <w:rPr>
        <w:rStyle w:val="26"/>
      </w:rPr>
      <w:t>- 2 -</w:t>
    </w:r>
    <w:r>
      <w:rPr>
        <w:rStyle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>
    <w:pPr>
      <w:pStyle w:val="1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right="360" w:firstLine="360" w:firstLineChars="200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rStyle w:val="26"/>
      </w:rPr>
      <w:fldChar w:fldCharType="begin"/>
    </w:r>
    <w:r>
      <w:rPr>
        <w:rStyle w:val="26"/>
      </w:rPr>
      <w:instrText xml:space="preserve"> PAGE </w:instrText>
    </w:r>
    <w:r>
      <w:rPr>
        <w:rStyle w:val="26"/>
      </w:rPr>
      <w:fldChar w:fldCharType="separate"/>
    </w:r>
    <w:r>
      <w:rPr>
        <w:rStyle w:val="26"/>
      </w:rPr>
      <w:t>3</w:t>
    </w:r>
    <w:r>
      <w:rPr>
        <w:rStyle w:val="2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right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>
    <w:pPr>
      <w:pStyle w:val="1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5A38A"/>
    <w:multiLevelType w:val="singleLevel"/>
    <w:tmpl w:val="C8A5A3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3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pStyle w:val="29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B5"/>
    <w:rsid w:val="00011781"/>
    <w:rsid w:val="001B1883"/>
    <w:rsid w:val="003850D8"/>
    <w:rsid w:val="00441B21"/>
    <w:rsid w:val="004672F9"/>
    <w:rsid w:val="004A2A98"/>
    <w:rsid w:val="004A3EA3"/>
    <w:rsid w:val="004D73DA"/>
    <w:rsid w:val="005109C8"/>
    <w:rsid w:val="0054261E"/>
    <w:rsid w:val="0064206C"/>
    <w:rsid w:val="00675C98"/>
    <w:rsid w:val="00724552"/>
    <w:rsid w:val="00772CF5"/>
    <w:rsid w:val="0085250A"/>
    <w:rsid w:val="00856AA4"/>
    <w:rsid w:val="00881D24"/>
    <w:rsid w:val="00893D11"/>
    <w:rsid w:val="00933C08"/>
    <w:rsid w:val="009B4EA3"/>
    <w:rsid w:val="00AA6D6D"/>
    <w:rsid w:val="00AE18B1"/>
    <w:rsid w:val="00B46A71"/>
    <w:rsid w:val="00C65746"/>
    <w:rsid w:val="00CD34ED"/>
    <w:rsid w:val="00CE73AE"/>
    <w:rsid w:val="00CF5521"/>
    <w:rsid w:val="00D0349D"/>
    <w:rsid w:val="00D437C8"/>
    <w:rsid w:val="00D816E8"/>
    <w:rsid w:val="00D860C7"/>
    <w:rsid w:val="00E17DB5"/>
    <w:rsid w:val="00E544A9"/>
    <w:rsid w:val="00EE531D"/>
    <w:rsid w:val="00F972C5"/>
    <w:rsid w:val="01BE7323"/>
    <w:rsid w:val="01C34D8C"/>
    <w:rsid w:val="01D34AC7"/>
    <w:rsid w:val="029167E5"/>
    <w:rsid w:val="038753D5"/>
    <w:rsid w:val="053E0898"/>
    <w:rsid w:val="05A117DC"/>
    <w:rsid w:val="05A75A44"/>
    <w:rsid w:val="07C34CBD"/>
    <w:rsid w:val="081604A6"/>
    <w:rsid w:val="09273A00"/>
    <w:rsid w:val="093868C5"/>
    <w:rsid w:val="09AE4050"/>
    <w:rsid w:val="0A7D7A33"/>
    <w:rsid w:val="0B6C77CA"/>
    <w:rsid w:val="0C4F6EDD"/>
    <w:rsid w:val="0CCA3020"/>
    <w:rsid w:val="0ECA521F"/>
    <w:rsid w:val="0F5E2F4D"/>
    <w:rsid w:val="0F755757"/>
    <w:rsid w:val="10DE3DE3"/>
    <w:rsid w:val="10E2294F"/>
    <w:rsid w:val="10FA226A"/>
    <w:rsid w:val="120435CD"/>
    <w:rsid w:val="134D6B6A"/>
    <w:rsid w:val="13977163"/>
    <w:rsid w:val="14830684"/>
    <w:rsid w:val="14CD7B51"/>
    <w:rsid w:val="16B91F76"/>
    <w:rsid w:val="181B6E25"/>
    <w:rsid w:val="1829515E"/>
    <w:rsid w:val="188E3A9B"/>
    <w:rsid w:val="18A312F5"/>
    <w:rsid w:val="19303E73"/>
    <w:rsid w:val="1AE51FB9"/>
    <w:rsid w:val="1D2F75FB"/>
    <w:rsid w:val="1D645145"/>
    <w:rsid w:val="1D6D1ED1"/>
    <w:rsid w:val="1D8A2A83"/>
    <w:rsid w:val="1E7828DC"/>
    <w:rsid w:val="1F100D66"/>
    <w:rsid w:val="20054AE2"/>
    <w:rsid w:val="228A6141"/>
    <w:rsid w:val="238B1303"/>
    <w:rsid w:val="23F55382"/>
    <w:rsid w:val="241E3F25"/>
    <w:rsid w:val="248F6310"/>
    <w:rsid w:val="25671385"/>
    <w:rsid w:val="26DB7EAB"/>
    <w:rsid w:val="280D69F7"/>
    <w:rsid w:val="28383A4C"/>
    <w:rsid w:val="29453D02"/>
    <w:rsid w:val="2B34402E"/>
    <w:rsid w:val="2BC74EA2"/>
    <w:rsid w:val="2CC47634"/>
    <w:rsid w:val="2CD21D51"/>
    <w:rsid w:val="2D0F01B1"/>
    <w:rsid w:val="2D472042"/>
    <w:rsid w:val="2D690472"/>
    <w:rsid w:val="2DB76A0F"/>
    <w:rsid w:val="2E2D6347"/>
    <w:rsid w:val="2ECD0A22"/>
    <w:rsid w:val="2F7D2448"/>
    <w:rsid w:val="2F8A06C1"/>
    <w:rsid w:val="2FF804B5"/>
    <w:rsid w:val="30641D3F"/>
    <w:rsid w:val="3185029E"/>
    <w:rsid w:val="322C3CB1"/>
    <w:rsid w:val="33C70135"/>
    <w:rsid w:val="343C01F2"/>
    <w:rsid w:val="34DF514C"/>
    <w:rsid w:val="35414F6E"/>
    <w:rsid w:val="362E3FB5"/>
    <w:rsid w:val="36A007CA"/>
    <w:rsid w:val="39712D11"/>
    <w:rsid w:val="3C467402"/>
    <w:rsid w:val="3C797AF3"/>
    <w:rsid w:val="3C92251C"/>
    <w:rsid w:val="3EAF7F9B"/>
    <w:rsid w:val="3F197891"/>
    <w:rsid w:val="3FFD6C8D"/>
    <w:rsid w:val="403F7575"/>
    <w:rsid w:val="40750F19"/>
    <w:rsid w:val="427E5C8F"/>
    <w:rsid w:val="4432576B"/>
    <w:rsid w:val="45464C32"/>
    <w:rsid w:val="46A31DA3"/>
    <w:rsid w:val="47543990"/>
    <w:rsid w:val="47863A0C"/>
    <w:rsid w:val="481B0E3D"/>
    <w:rsid w:val="48B03595"/>
    <w:rsid w:val="492B6619"/>
    <w:rsid w:val="4A4F4589"/>
    <w:rsid w:val="4A8C1339"/>
    <w:rsid w:val="4B45283C"/>
    <w:rsid w:val="4B8B6A15"/>
    <w:rsid w:val="4CA864E4"/>
    <w:rsid w:val="4D521C7C"/>
    <w:rsid w:val="4D5819A6"/>
    <w:rsid w:val="4D7D140D"/>
    <w:rsid w:val="4E022E20"/>
    <w:rsid w:val="4E0278BE"/>
    <w:rsid w:val="4E712D20"/>
    <w:rsid w:val="4EB56AFB"/>
    <w:rsid w:val="50630798"/>
    <w:rsid w:val="532E3045"/>
    <w:rsid w:val="539A6875"/>
    <w:rsid w:val="540977F1"/>
    <w:rsid w:val="541A79B6"/>
    <w:rsid w:val="54F47F46"/>
    <w:rsid w:val="55653A9D"/>
    <w:rsid w:val="55732328"/>
    <w:rsid w:val="559E6FA5"/>
    <w:rsid w:val="57736737"/>
    <w:rsid w:val="57875362"/>
    <w:rsid w:val="58894EBB"/>
    <w:rsid w:val="59134F0C"/>
    <w:rsid w:val="59AF4CB4"/>
    <w:rsid w:val="59C812C8"/>
    <w:rsid w:val="5B8A2CDB"/>
    <w:rsid w:val="5BE16C61"/>
    <w:rsid w:val="5BE81327"/>
    <w:rsid w:val="5C58736D"/>
    <w:rsid w:val="5D16514F"/>
    <w:rsid w:val="5D9D7BB3"/>
    <w:rsid w:val="5E93283E"/>
    <w:rsid w:val="5EAB324C"/>
    <w:rsid w:val="5F3C111A"/>
    <w:rsid w:val="5F8F3BE9"/>
    <w:rsid w:val="61B239D0"/>
    <w:rsid w:val="62EC076F"/>
    <w:rsid w:val="66013581"/>
    <w:rsid w:val="673821D5"/>
    <w:rsid w:val="682F7047"/>
    <w:rsid w:val="68402088"/>
    <w:rsid w:val="69186A9E"/>
    <w:rsid w:val="6A7F2C3F"/>
    <w:rsid w:val="6B856096"/>
    <w:rsid w:val="6BD46244"/>
    <w:rsid w:val="6BF60889"/>
    <w:rsid w:val="6C29151F"/>
    <w:rsid w:val="6C574FA8"/>
    <w:rsid w:val="6C707AC8"/>
    <w:rsid w:val="6D0668D1"/>
    <w:rsid w:val="6D8F68C7"/>
    <w:rsid w:val="6E463223"/>
    <w:rsid w:val="6F6C6382"/>
    <w:rsid w:val="6FCD1928"/>
    <w:rsid w:val="6FEE7B3B"/>
    <w:rsid w:val="70F51070"/>
    <w:rsid w:val="71D75DB1"/>
    <w:rsid w:val="73263829"/>
    <w:rsid w:val="73F37BC6"/>
    <w:rsid w:val="747C51B0"/>
    <w:rsid w:val="74991FFC"/>
    <w:rsid w:val="74EE65C9"/>
    <w:rsid w:val="7513273D"/>
    <w:rsid w:val="766857E7"/>
    <w:rsid w:val="76872279"/>
    <w:rsid w:val="77141BDB"/>
    <w:rsid w:val="78415FFB"/>
    <w:rsid w:val="78961451"/>
    <w:rsid w:val="78D3632A"/>
    <w:rsid w:val="78FA241B"/>
    <w:rsid w:val="7956298E"/>
    <w:rsid w:val="79667075"/>
    <w:rsid w:val="799D05BD"/>
    <w:rsid w:val="79A33E26"/>
    <w:rsid w:val="7A550887"/>
    <w:rsid w:val="7A7A357F"/>
    <w:rsid w:val="7AA653F4"/>
    <w:rsid w:val="7ADA7CBB"/>
    <w:rsid w:val="7B556A5B"/>
    <w:rsid w:val="7B6004E6"/>
    <w:rsid w:val="7B9D6653"/>
    <w:rsid w:val="7C743857"/>
    <w:rsid w:val="7DCE3739"/>
    <w:rsid w:val="7E3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link w:val="38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8">
    <w:name w:val="Document Map"/>
    <w:basedOn w:val="1"/>
    <w:qFormat/>
    <w:uiPriority w:val="0"/>
    <w:pPr>
      <w:shd w:val="clear" w:color="auto" w:fill="000080"/>
    </w:pPr>
  </w:style>
  <w:style w:type="paragraph" w:styleId="9">
    <w:name w:val="Salutation"/>
    <w:basedOn w:val="1"/>
    <w:next w:val="1"/>
    <w:qFormat/>
    <w:uiPriority w:val="0"/>
    <w:rPr>
      <w:rFonts w:ascii="宋体" w:eastAsia="仿宋_GB2312"/>
      <w:szCs w:val="20"/>
    </w:rPr>
  </w:style>
  <w:style w:type="paragraph" w:styleId="1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1">
    <w:name w:val="Body Text Indent"/>
    <w:basedOn w:val="1"/>
    <w:qFormat/>
    <w:uiPriority w:val="0"/>
    <w:pPr>
      <w:widowControl/>
      <w:snapToGrid w:val="0"/>
      <w:ind w:firstLine="614"/>
      <w:jc w:val="left"/>
    </w:pPr>
    <w:rPr>
      <w:rFonts w:cs="Times New Roman"/>
      <w:color w:val="auto"/>
      <w:sz w:val="30"/>
      <w:szCs w:val="21"/>
    </w:rPr>
  </w:style>
  <w:style w:type="paragraph" w:styleId="12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13">
    <w:name w:val="toc 3"/>
    <w:basedOn w:val="1"/>
    <w:next w:val="1"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4">
    <w:name w:val="Plain Text"/>
    <w:basedOn w:val="1"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5">
    <w:name w:val="Date"/>
    <w:basedOn w:val="1"/>
    <w:next w:val="1"/>
    <w:link w:val="43"/>
    <w:qFormat/>
    <w:uiPriority w:val="0"/>
    <w:rPr>
      <w:sz w:val="24"/>
      <w:szCs w:val="20"/>
    </w:rPr>
  </w:style>
  <w:style w:type="paragraph" w:styleId="16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1"/>
    <w:next w:val="1"/>
    <w:qFormat/>
    <w:uiPriority w:val="0"/>
    <w:pPr>
      <w:ind w:left="420" w:leftChars="200"/>
    </w:p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</w:style>
  <w:style w:type="character" w:styleId="27">
    <w:name w:val="Hyperlink"/>
    <w:basedOn w:val="25"/>
    <w:qFormat/>
    <w:uiPriority w:val="0"/>
    <w:rPr>
      <w:color w:val="0000FF"/>
      <w:u w:val="single"/>
    </w:rPr>
  </w:style>
  <w:style w:type="paragraph" w:customStyle="1" w:styleId="2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">
    <w:name w:val="正文2"/>
    <w:basedOn w:val="1"/>
    <w:qFormat/>
    <w:uiPriority w:val="0"/>
    <w:pPr>
      <w:numPr>
        <w:ilvl w:val="0"/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30">
    <w:name w:val="5号正文"/>
    <w:link w:val="41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2">
    <w:name w:val="Char Char Char Char Char Char Char Char Char Char Char Char Char Char Char Char"/>
    <w:basedOn w:val="8"/>
    <w:qFormat/>
    <w:uiPriority w:val="0"/>
    <w:pPr>
      <w:spacing w:line="360" w:lineRule="auto"/>
      <w:ind w:firstLine="200" w:firstLineChars="200"/>
    </w:pPr>
  </w:style>
  <w:style w:type="paragraph" w:customStyle="1" w:styleId="33">
    <w:name w:val="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4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6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37">
    <w:name w:val="小标题"/>
    <w:basedOn w:val="1"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38">
    <w:name w:val="标题 2 Char"/>
    <w:basedOn w:val="25"/>
    <w:link w:val="4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39">
    <w:name w:val="页眉 Char"/>
    <w:basedOn w:val="25"/>
    <w:link w:val="1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0">
    <w:name w:val="页脚 Char"/>
    <w:basedOn w:val="25"/>
    <w:link w:val="1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1">
    <w:name w:val="5号正文 Char"/>
    <w:basedOn w:val="25"/>
    <w:link w:val="30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character" w:customStyle="1" w:styleId="42">
    <w:name w:val="Char Char4"/>
    <w:basedOn w:val="25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3">
    <w:name w:val="日期 Char"/>
    <w:link w:val="15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4">
    <w:name w:val="小 Char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2224</Words>
  <Characters>2282</Characters>
  <Lines>16</Lines>
  <Paragraphs>4</Paragraphs>
  <TotalTime>0</TotalTime>
  <ScaleCrop>false</ScaleCrop>
  <LinksUpToDate>false</LinksUpToDate>
  <CharactersWithSpaces>2325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2019-01-16T21:19:00Z</dcterms:created>
  <dc:creator>段彦兴</dc:creator>
  <cp:lastModifiedBy>走走停停</cp:lastModifiedBy>
  <cp:lastPrinted>2015-07-16T17:13:00Z</cp:lastPrinted>
  <dcterms:modified xsi:type="dcterms:W3CDTF">2025-10-21T08:29:02Z</dcterms:modified>
  <dc:title>重庆医科大学第二附属医院江南医院工程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249A5AFEF33E4022B0347BB77C7B580F</vt:lpwstr>
  </property>
  <property fmtid="{D5CDD505-2E9C-101B-9397-08002B2CF9AE}" pid="4" name="KSOTemplateDocerSaveRecord">
    <vt:lpwstr>eyJoZGlkIjoiMTIzNDNkM2EyN2EzNTZjM2RiOTY3ZmZkZjNhNTBhNDciLCJ1c2VySWQiOiIzOTg2NzU5MjkifQ==</vt:lpwstr>
  </property>
</Properties>
</file>