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24"/>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080" w:firstLineChars="3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项目名称：2025年护士鞋采购</w:t>
      </w:r>
    </w:p>
    <w:p>
      <w:pPr>
        <w:spacing w:line="720" w:lineRule="exact"/>
        <w:ind w:firstLine="1080" w:firstLineChars="3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spacing w:line="480" w:lineRule="exact"/>
        <w:jc w:val="both"/>
        <w:outlineLvl w:val="0"/>
        <w:rPr>
          <w:rFonts w:hint="eastAsia" w:ascii="宋体" w:hAnsi="宋体" w:cs="宋体"/>
          <w:b/>
          <w:bCs/>
          <w:color w:val="auto"/>
          <w:sz w:val="36"/>
          <w:szCs w:val="36"/>
          <w:highlight w:val="none"/>
        </w:rPr>
      </w:pPr>
      <w:bookmarkStart w:id="0" w:name="_Toc4351"/>
      <w:bookmarkStart w:id="1" w:name="_Toc12789052"/>
      <w:bookmarkStart w:id="2" w:name="_Toc12667"/>
      <w:bookmarkStart w:id="3" w:name="_Toc11641050"/>
    </w:p>
    <w:p>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49"/>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2</w:t>
      </w:r>
      <w:r>
        <w:rPr>
          <w:rFonts w:hint="eastAsia" w:ascii="宋体" w:hAnsi="宋体" w:cs="宋体"/>
          <w:b/>
          <w:bCs/>
          <w:color w:val="auto"/>
          <w:sz w:val="24"/>
          <w:szCs w:val="24"/>
          <w:highlight w:val="none"/>
        </w:rPr>
        <w:fldChar w:fldCharType="end"/>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2"/>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49"/>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2"/>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6</w:t>
      </w:r>
    </w:p>
    <w:p>
      <w:pPr>
        <w:pStyle w:val="24"/>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w:t>
      </w:r>
      <w:r>
        <w:rPr>
          <w:rFonts w:hint="eastAsia" w:cs="宋体"/>
          <w:color w:val="auto"/>
          <w:sz w:val="24"/>
          <w:szCs w:val="24"/>
          <w:highlight w:val="none"/>
          <w:lang w:val="en-US" w:eastAsia="zh-CN"/>
        </w:rPr>
        <w:t>9</w:t>
      </w:r>
    </w:p>
    <w:p>
      <w:pPr>
        <w:rPr>
          <w:rFonts w:hint="default"/>
          <w:sz w:val="24"/>
          <w:szCs w:val="24"/>
          <w:lang w:val="en-US" w:eastAsia="zh-CN"/>
        </w:rPr>
      </w:pPr>
      <w:r>
        <w:rPr>
          <w:rFonts w:hint="eastAsia"/>
          <w:sz w:val="24"/>
          <w:szCs w:val="24"/>
          <w:lang w:val="en-US" w:eastAsia="zh-CN"/>
        </w:rPr>
        <w:t xml:space="preserve">         六、成交通知                                                        9</w:t>
      </w:r>
    </w:p>
    <w:p>
      <w:pPr>
        <w:pStyle w:val="24"/>
        <w:ind w:firstLine="1080" w:firstLineChars="450"/>
        <w:rPr>
          <w:rFonts w:hint="default"/>
          <w:sz w:val="24"/>
          <w:szCs w:val="24"/>
          <w:lang w:val="en-US" w:eastAsia="zh-CN"/>
        </w:rPr>
      </w:pPr>
      <w:r>
        <w:rPr>
          <w:rFonts w:hint="eastAsia"/>
          <w:sz w:val="24"/>
          <w:szCs w:val="24"/>
          <w:lang w:val="en-US" w:eastAsia="zh-CN"/>
        </w:rPr>
        <w:t>七、关于质疑和投诉                                                  9</w:t>
      </w:r>
    </w:p>
    <w:p>
      <w:pPr>
        <w:ind w:firstLine="960" w:firstLineChars="400"/>
        <w:rPr>
          <w:rFonts w:hint="default"/>
          <w:lang w:val="en-US" w:eastAsia="zh-CN"/>
        </w:rPr>
      </w:pPr>
      <w:r>
        <w:rPr>
          <w:rFonts w:hint="eastAsia"/>
          <w:sz w:val="24"/>
          <w:szCs w:val="24"/>
          <w:lang w:val="en-US" w:eastAsia="zh-CN"/>
        </w:rPr>
        <w:t>八、签订合同                                                         9</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11</w:t>
      </w:r>
    </w:p>
    <w:p>
      <w:pPr>
        <w:pStyle w:val="32"/>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11</w:t>
      </w:r>
    </w:p>
    <w:p>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13</w:t>
      </w:r>
      <w:r>
        <w:rPr>
          <w:rFonts w:hint="eastAsia" w:ascii="宋体" w:hAnsi="宋体" w:cs="宋体"/>
          <w:color w:val="auto"/>
          <w:sz w:val="24"/>
          <w:szCs w:val="24"/>
          <w:highlight w:val="none"/>
        </w:rPr>
        <w:fldChar w:fldCharType="end"/>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三、付款方式</w:t>
      </w:r>
      <w:r>
        <w:rPr>
          <w:color w:val="auto"/>
          <w:sz w:val="24"/>
          <w:szCs w:val="24"/>
          <w:highlight w:val="none"/>
        </w:rPr>
        <w:tab/>
      </w:r>
      <w:r>
        <w:rPr>
          <w:rFonts w:hint="eastAsia"/>
          <w:color w:val="auto"/>
          <w:sz w:val="24"/>
          <w:szCs w:val="24"/>
          <w:highlight w:val="none"/>
          <w:lang w:val="en-US" w:eastAsia="zh-CN"/>
        </w:rPr>
        <w:t>13</w:t>
      </w:r>
      <w:r>
        <w:rPr>
          <w:rFonts w:hint="eastAsia" w:ascii="宋体" w:hAnsi="宋体" w:cs="宋体"/>
          <w:color w:val="auto"/>
          <w:sz w:val="24"/>
          <w:szCs w:val="24"/>
          <w:highlight w:val="none"/>
        </w:rPr>
        <w:fldChar w:fldCharType="end"/>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rFonts w:hint="eastAsia"/>
          <w:color w:val="auto"/>
          <w:sz w:val="24"/>
          <w:szCs w:val="24"/>
          <w:highlight w:val="none"/>
          <w:lang w:val="en-US" w:eastAsia="zh-CN"/>
        </w:rPr>
        <w:t>14</w:t>
      </w:r>
      <w:r>
        <w:rPr>
          <w:rFonts w:hint="eastAsia" w:ascii="宋体" w:hAnsi="宋体" w:cs="宋体"/>
          <w:color w:val="auto"/>
          <w:sz w:val="24"/>
          <w:szCs w:val="24"/>
          <w:highlight w:val="none"/>
        </w:rPr>
        <w:fldChar w:fldCharType="end"/>
      </w:r>
    </w:p>
    <w:p>
      <w:pPr>
        <w:pStyle w:val="32"/>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rFonts w:hint="eastAsia"/>
          <w:color w:val="auto"/>
          <w:sz w:val="24"/>
          <w:szCs w:val="24"/>
          <w:highlight w:val="none"/>
          <w:lang w:val="en-US" w:eastAsia="zh-CN"/>
        </w:rPr>
        <w:t>14</w:t>
      </w:r>
      <w:r>
        <w:rPr>
          <w:rFonts w:hint="eastAsia" w:ascii="宋体" w:hAnsi="宋体" w:cs="宋体"/>
          <w:color w:val="auto"/>
          <w:sz w:val="24"/>
          <w:szCs w:val="24"/>
          <w:highlight w:val="none"/>
        </w:rPr>
        <w:fldChar w:fldCharType="end"/>
      </w:r>
    </w:p>
    <w:p>
      <w:pPr>
        <w:pStyle w:val="49"/>
        <w:tabs>
          <w:tab w:val="right" w:leader="dot" w:pos="9525"/>
        </w:tabs>
        <w:ind w:left="480"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rFonts w:hint="eastAsia"/>
          <w:color w:val="auto"/>
          <w:sz w:val="24"/>
          <w:szCs w:val="24"/>
          <w:highlight w:val="none"/>
          <w:lang w:val="en-US" w:eastAsia="zh-CN"/>
        </w:rPr>
        <w:t>14</w:t>
      </w:r>
      <w:r>
        <w:rPr>
          <w:rFonts w:hint="eastAsia" w:ascii="宋体" w:hAnsi="宋体" w:cs="宋体"/>
          <w:color w:val="auto"/>
          <w:sz w:val="24"/>
          <w:szCs w:val="24"/>
          <w:highlight w:val="none"/>
        </w:rPr>
        <w:fldChar w:fldCharType="end"/>
      </w:r>
    </w:p>
    <w:p>
      <w:pPr>
        <w:pStyle w:val="49"/>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15</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17</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19</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21</w:t>
      </w:r>
    </w:p>
    <w:p>
      <w:pPr>
        <w:pStyle w:val="32"/>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24</w:t>
      </w:r>
    </w:p>
    <w:p>
      <w:pPr>
        <w:pStyle w:val="32"/>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29</w:t>
      </w:r>
    </w:p>
    <w:p>
      <w:pPr>
        <w:pStyle w:val="4"/>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荣昌区人民医院2025年护士鞋采购采购项目</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5"/>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2828"/>
      <w:bookmarkStart w:id="5" w:name="_Toc317775175"/>
      <w:bookmarkStart w:id="6" w:name="_Toc313893526"/>
      <w:bookmarkStart w:id="7" w:name="_Toc12613"/>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数量</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单位</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单价限价（元）</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荣昌区人民医院2025年护士鞋采购</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695</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双</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90</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r>
              <w:rPr>
                <w:rFonts w:hint="eastAsia" w:ascii="方正仿宋_GBK" w:hAnsi="方正仿宋_GBK" w:eastAsia="方正仿宋_GBK" w:cs="方正仿宋_GBK"/>
                <w:lang w:eastAsia="zh-CN"/>
              </w:rPr>
              <w:t>参照医院现有样式。最终的样式颜色由护理部和医院决定</w:t>
            </w:r>
          </w:p>
        </w:tc>
      </w:tr>
    </w:tbl>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5923"/>
      <w:bookmarkStart w:id="9" w:name="_Toc13432"/>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5"/>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pPr>
        <w:pageBreakBefore w:val="0"/>
        <w:widowControl/>
        <w:kinsoku/>
        <w:wordWrap w:val="0"/>
        <w:overflowPunct/>
        <w:topLinePunct w:val="0"/>
        <w:autoSpaceDE/>
        <w:autoSpaceDN/>
        <w:bidi w:val="0"/>
        <w:adjustRightInd/>
        <w:snapToGrid/>
        <w:spacing w:line="440" w:lineRule="exact"/>
        <w:jc w:val="left"/>
        <w:textAlignment w:val="auto"/>
        <w:rPr>
          <w:rFonts w:hint="eastAsia"/>
        </w:rPr>
      </w:pPr>
      <w:r>
        <w:rPr>
          <w:rFonts w:hint="eastAsia" w:ascii="宋体" w:hAnsi="宋体" w:cs="宋体"/>
          <w:color w:val="auto"/>
          <w:szCs w:val="24"/>
          <w:highlight w:val="none"/>
        </w:rPr>
        <w:t>（三）本项目的特定资格要求：</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营业执照经营范围须包含生产或销售鞋类项目。</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1、询价通知书提供期限：2025年5月22日至2025年5月26日。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（六）响应文件递交开始时间：2025年5月27日北京时间14时30分。 </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（七）响应文件递交截止时间：2025年5月27日北京时间15时00分。</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（八）询价开始时间：2025年5月27日北京时间15</w:t>
      </w:r>
      <w:bookmarkStart w:id="116" w:name="_GoBack"/>
      <w:bookmarkEnd w:id="116"/>
      <w:r>
        <w:rPr>
          <w:rFonts w:hint="eastAsia" w:ascii="仿宋" w:hAnsi="仿宋" w:eastAsia="仿宋" w:cs="仿宋"/>
          <w:color w:val="auto"/>
          <w:sz w:val="28"/>
          <w:szCs w:val="28"/>
          <w:highlight w:val="none"/>
          <w:lang w:val="en-US" w:eastAsia="zh-CN"/>
        </w:rPr>
        <w:t>时00分。</w:t>
      </w:r>
    </w:p>
    <w:p>
      <w:pPr>
        <w:pStyle w:val="24"/>
        <w:rPr>
          <w:rFonts w:hint="eastAsia"/>
          <w:lang w:val="en-US" w:eastAsia="zh-CN"/>
        </w:rPr>
      </w:pPr>
    </w:p>
    <w:p>
      <w:pPr>
        <w:pStyle w:val="5"/>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22356"/>
      <w:bookmarkStart w:id="18" w:name="_Toc487204775"/>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pPr>
        <w:numPr>
          <w:ilvl w:val="0"/>
          <w:numId w:val="0"/>
        </w:numPr>
        <w:rPr>
          <w:rFonts w:hint="eastAsia" w:eastAsia="宋体"/>
          <w:lang w:eastAsia="zh-CN"/>
        </w:rPr>
      </w:pPr>
      <w:r>
        <w:rPr>
          <w:rFonts w:hint="eastAsia"/>
          <w:lang w:eastAsia="zh-CN"/>
        </w:rPr>
        <w:t>无</w:t>
      </w:r>
    </w:p>
    <w:bookmarkEnd w:id="15"/>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8513"/>
      <w:bookmarkStart w:id="20" w:name="_Toc26067"/>
      <w:bookmarkStart w:id="21" w:name="_Toc27117"/>
      <w:r>
        <w:rPr>
          <w:rFonts w:hint="eastAsia" w:ascii="仿宋" w:hAnsi="仿宋" w:eastAsia="仿宋" w:cs="仿宋"/>
          <w:color w:val="auto"/>
          <w:sz w:val="28"/>
          <w:szCs w:val="28"/>
          <w:highlight w:val="none"/>
        </w:rPr>
        <w:t>六、其它有关规定</w:t>
      </w:r>
      <w:bookmarkEnd w:id="19"/>
      <w:bookmarkEnd w:id="20"/>
      <w:bookmarkEnd w:id="21"/>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4"/>
        <w:rPr>
          <w:rFonts w:hint="eastAsia"/>
          <w:lang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刘老师（护理部</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023-46331797</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4"/>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pPr>
        <w:pStyle w:val="5"/>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5"/>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pPr>
        <w:pStyle w:val="5"/>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叁</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一份、副本</w:t>
      </w:r>
      <w:r>
        <w:rPr>
          <w:rFonts w:hint="eastAsia" w:ascii="宋体" w:hAnsi="宋体" w:cs="宋体"/>
          <w:color w:val="auto"/>
          <w:sz w:val="24"/>
          <w:szCs w:val="24"/>
          <w:highlight w:val="none"/>
        </w:rPr>
        <w:t>一份，</w:t>
      </w:r>
      <w:r>
        <w:rPr>
          <w:rFonts w:hint="eastAsia" w:ascii="宋体" w:hAnsi="宋体" w:eastAsia="宋体" w:cs="宋体"/>
          <w:color w:val="auto"/>
          <w:sz w:val="24"/>
          <w:szCs w:val="24"/>
          <w:highlight w:val="none"/>
          <w:lang w:eastAsia="zh-CN"/>
        </w:rPr>
        <w:t>电子文档一份（电子文档内容应与纸质文件正本一致，即响应文件正本签字盖章完整的扫描件PDF格式，采用U盘为电子文档载体），</w:t>
      </w:r>
      <w:r>
        <w:rPr>
          <w:rFonts w:hint="eastAsia" w:ascii="宋体" w:hAnsi="宋体" w:cs="宋体"/>
          <w:color w:val="auto"/>
          <w:sz w:val="24"/>
          <w:szCs w:val="24"/>
          <w:highlight w:val="none"/>
        </w:rPr>
        <w:t>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5"/>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342913393"/>
      <w:bookmarkStart w:id="56" w:name="_Toc487204782"/>
      <w:bookmarkStart w:id="57" w:name="_Toc31741"/>
      <w:bookmarkStart w:id="58" w:name="_Toc10039"/>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5"/>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5"/>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5"/>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5"/>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pPr>
        <w:pStyle w:val="4"/>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p>
      <w:pPr>
        <w:pageBreakBefore w:val="0"/>
        <w:widowControl w:val="0"/>
        <w:kinsoku/>
        <w:wordWrap w:val="0"/>
        <w:overflowPunct/>
        <w:topLinePunct w:val="0"/>
        <w:autoSpaceDE/>
        <w:autoSpaceDN/>
        <w:bidi w:val="0"/>
        <w:adjustRightInd/>
        <w:snapToGrid/>
        <w:spacing w:line="440" w:lineRule="exact"/>
        <w:ind w:firstLine="48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一、详细技术要求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434"/>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97"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序号</w:t>
            </w:r>
          </w:p>
        </w:tc>
        <w:tc>
          <w:tcPr>
            <w:tcW w:w="3434" w:type="dxa"/>
            <w:shd w:val="clear" w:color="auto" w:fill="auto"/>
            <w:noWrap w:val="0"/>
            <w:vAlign w:val="top"/>
          </w:tcPr>
          <w:p>
            <w:pPr>
              <w:widowControl w:val="0"/>
              <w:spacing w:line="240" w:lineRule="auto"/>
              <w:ind w:firstLine="0" w:firstLineChars="0"/>
              <w:jc w:val="center"/>
              <w:rPr>
                <w:rFonts w:hint="eastAsia" w:ascii="方正仿宋_GBK" w:hAnsi="方正仿宋_GBK" w:eastAsia="方正仿宋_GBK" w:cs="方正仿宋_GBK"/>
              </w:rPr>
            </w:pPr>
          </w:p>
          <w:p>
            <w:pPr>
              <w:widowControl w:val="0"/>
              <w:spacing w:line="240" w:lineRule="auto"/>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4438" w:type="dxa"/>
            <w:shd w:val="clear" w:color="auto" w:fill="auto"/>
            <w:noWrap w:val="0"/>
            <w:vAlign w:val="top"/>
          </w:tcPr>
          <w:p>
            <w:pPr>
              <w:widowControl w:val="0"/>
              <w:spacing w:line="240" w:lineRule="auto"/>
              <w:ind w:firstLine="0" w:firstLineChars="0"/>
              <w:jc w:val="both"/>
              <w:rPr>
                <w:rFonts w:hint="eastAsia" w:ascii="方正仿宋_GBK" w:hAnsi="方正仿宋_GBK" w:eastAsia="方正仿宋_GBK" w:cs="方正仿宋_GBK"/>
              </w:rPr>
            </w:pPr>
          </w:p>
          <w:p>
            <w:pPr>
              <w:widowControl w:val="0"/>
              <w:spacing w:line="240" w:lineRule="auto"/>
              <w:ind w:firstLine="1960" w:firstLineChars="7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规格</w:t>
            </w:r>
            <w:r>
              <w:rPr>
                <w:rFonts w:hint="eastAsia" w:ascii="方正仿宋_GBK" w:hAnsi="方正仿宋_GBK" w:eastAsia="方正仿宋_GBK" w:cs="方正仿宋_GBK"/>
                <w:lang w:eastAsia="zh-CN"/>
              </w:rPr>
              <w:t>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6" w:hRule="atLeast"/>
          <w:jc w:val="center"/>
        </w:trPr>
        <w:tc>
          <w:tcPr>
            <w:tcW w:w="497" w:type="dxa"/>
            <w:shd w:val="clear" w:color="auto" w:fill="auto"/>
            <w:noWrap w:val="0"/>
            <w:vAlign w:val="center"/>
          </w:tcPr>
          <w:p>
            <w:pPr>
              <w:widowControl w:val="0"/>
              <w:ind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3434"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760" w:lineRule="auto"/>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护士鞋（四季）</w:t>
            </w:r>
          </w:p>
        </w:tc>
        <w:tc>
          <w:tcPr>
            <w:tcW w:w="4438" w:type="dxa"/>
            <w:shd w:val="clear" w:color="auto" w:fill="auto"/>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1.鞋面：选用优质纳帕白色光面软牛皮，质地柔韧。车缝部分以 40 番白色珠光尼龙线，每英寸 10 针；</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2.鞋底采用超轻高弹 EVA 材质，减震效果好，穿着舒适，安稳，双向防滑橡胶 片，防滑，静音，耐磨，超轻；</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3.材质鉴定：头层牛皮革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4 厚度（mm）：1.65（±0.1mm）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5.静态防滑性能（静态摩擦系数）：干法 0.85～0.99 湿法 0.65～0.85；</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6.DIN 磨耗量（mm3）:≤120；</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7.无可分解有害芳香胺染料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8.耐黄变 B 法：3-4 级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9.异味（级）：≤3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10.PH 值：4.0-6.5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11.甲醛含量（mg/kg）：≤75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12.铬（VI）含量（mg/kg）：未检出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13.耐折性能（预割口 5mm，连续屈挠 4 万次）裂口长度：≤10.0；新裂纹：最 大值 无，处数 无；帮面裂浆、裂面：无；帮底开胶：无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14.外底耐磨性能（磨痕长度：部位：非发泡材料）（mm）:≤14mm ；</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15、检验依据:国家QB/T2955-2017皮鞋行业标准制作；</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16、尺码：33-43码，最终根据科室和医院要求为准；</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17、服务保证：实行国家三包（包修、包退、包换）；</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18、交货期：接到我院采购办正式通知后30个日历日内，送到我院指定位置；</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19、质保期：≥1年（人为因素除外）；</w:t>
            </w:r>
          </w:p>
          <w:p>
            <w:pPr>
              <w:keepNext w:val="0"/>
              <w:keepLines w:val="0"/>
              <w:widowControl/>
              <w:suppressLineNumbers w:val="0"/>
              <w:jc w:val="left"/>
              <w:textAlignment w:val="bottom"/>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20、以上第3-14项需提供省级(含直辖市)具有CMA、CNAS资质的质检机构出具的检测报告，且全部满足技术参数，（开标现场提供检测报告复印件，原件备查）</w:t>
            </w:r>
          </w:p>
        </w:tc>
      </w:tr>
    </w:tbl>
    <w:p>
      <w:pPr>
        <w:rPr>
          <w:rFonts w:hint="eastAsia"/>
        </w:rPr>
      </w:pPr>
    </w:p>
    <w:p>
      <w:pPr>
        <w:keepNext w:val="0"/>
        <w:keepLines w:val="0"/>
        <w:pageBreakBefore w:val="0"/>
        <w:widowControl w:val="0"/>
        <w:kinsoku/>
        <w:wordWrap w:val="0"/>
        <w:overflowPunct/>
        <w:topLinePunct w:val="0"/>
        <w:autoSpaceDE/>
        <w:autoSpaceDN/>
        <w:bidi w:val="0"/>
        <w:adjustRightInd/>
        <w:snapToGrid/>
        <w:spacing w:line="440" w:lineRule="exact"/>
        <w:ind w:firstLine="480"/>
        <w:textAlignment w:val="auto"/>
        <w:rPr>
          <w:rFonts w:hint="eastAsia"/>
        </w:rPr>
      </w:pPr>
      <w:r>
        <w:rPr>
          <w:rFonts w:hint="eastAsia" w:ascii="方正仿宋_GBK" w:hAnsi="方正仿宋_GBK" w:eastAsia="方正仿宋_GBK" w:cs="方正仿宋_GBK"/>
          <w:b/>
          <w:bCs/>
          <w:sz w:val="24"/>
          <w:szCs w:val="24"/>
          <w:lang w:eastAsia="zh-CN"/>
        </w:rPr>
        <w:t>二、其他要求</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1、供应商所供产品均有生产厂家、生产地、出厂日期、产品合格证、检验报告等。</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2、评审现场提供护士鞋样品。</w:t>
      </w:r>
    </w:p>
    <w:p>
      <w:pPr>
        <w:numPr>
          <w:ilvl w:val="0"/>
          <w:numId w:val="0"/>
        </w:numPr>
        <w:rPr>
          <w:rFonts w:hint="eastAsia"/>
        </w:rPr>
      </w:pPr>
    </w:p>
    <w:p>
      <w:pPr>
        <w:pStyle w:val="4"/>
        <w:numPr>
          <w:ilvl w:val="0"/>
          <w:numId w:val="14"/>
        </w:numPr>
        <w:ind w:left="0" w:leftChars="0" w:firstLine="0" w:firstLineChars="0"/>
        <w:jc w:val="center"/>
        <w:rPr>
          <w:rStyle w:val="114"/>
          <w:rFonts w:hint="eastAsia" w:ascii="宋体" w:hAnsi="宋体" w:eastAsia="宋体" w:cs="宋体"/>
          <w:b/>
          <w:bCs/>
          <w:color w:val="auto"/>
          <w:highlight w:val="none"/>
        </w:rPr>
      </w:pPr>
      <w:bookmarkStart w:id="82" w:name="_Toc26246"/>
      <w:bookmarkStart w:id="83" w:name="_Toc128744993"/>
      <w:bookmarkStart w:id="84" w:name="_Toc12789058"/>
      <w:r>
        <w:rPr>
          <w:rStyle w:val="114"/>
          <w:rFonts w:hint="eastAsia" w:ascii="宋体" w:hAnsi="宋体" w:eastAsia="宋体" w:cs="宋体"/>
          <w:b/>
          <w:bCs/>
          <w:color w:val="auto"/>
          <w:highlight w:val="none"/>
        </w:rPr>
        <w:t xml:space="preserve"> 商务要求</w:t>
      </w:r>
      <w:bookmarkEnd w:id="82"/>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方正仿宋_GBK" w:hAnsi="宋体" w:eastAsia="方正仿宋_GBK"/>
          <w:b/>
          <w:bCs/>
          <w:sz w:val="24"/>
        </w:rPr>
      </w:pPr>
      <w:r>
        <w:rPr>
          <w:rFonts w:hint="eastAsia" w:ascii="方正仿宋_GBK" w:hAnsi="宋体" w:eastAsia="方正仿宋_GBK"/>
          <w:b/>
          <w:bCs/>
          <w:sz w:val="24"/>
          <w:lang w:eastAsia="zh-CN"/>
        </w:rPr>
        <w:t>一、供货</w:t>
      </w:r>
      <w:r>
        <w:rPr>
          <w:rFonts w:hint="eastAsia" w:ascii="方正仿宋_GBK" w:hAnsi="宋体" w:eastAsia="方正仿宋_GBK"/>
          <w:b/>
          <w:bCs/>
          <w:sz w:val="24"/>
        </w:rPr>
        <w:t>时间、地点及验收方式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（一）交货时间：</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根据医院具体要求分批制作，分批送货。供货时限：接到采购人通知后30天内。</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（二）交货地点：</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采购人指定地点</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（三）验收方式</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1、货物到达现场后，供应商应经采购人或其指定验收单位清点品名、规格、数量；检查外观，作出验收记录，双方签字确认。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2、供应商应保证货物到达用户所在地完好无损，如有缺漏、损坏，由供应商负责调换、补齐或赔偿。</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3、供应商应提供完备的技术资料、装箱单和合格证等，第一次供货需提供面料检测报告复印件并盖投标单位鲜章，原件备查。验收合格条件如下：</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3.1商品种类、规格、数量、技术参数以及商品品牌、生产厂家等与采购合同一致，性能指标达到规定的标准。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3.2货物技术资料、装箱单、合格证等资料齐全。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3.3在规定时间内完成交货并验收，并经采购人确认。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4、供应商提供的货物未达到询价采购规定要求，且对采购人造成损失的，由供应商承担一切责任，并赔偿所造成的损失。</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5、大型或者复杂的政府采购产品项目，采购人可邀请国家认可的质量检测机构参加验收工作。</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6、采购人需要厂家对成交供应商交付的产品（包括质量、技术参数等）进行确认的，厂家应予以配合，并出具书面意见。</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7、产品包装材料归采购人所有。</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8、本项目验收标准，不得低于但不限于国家/行业技术标准：</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FF0000"/>
          <w:sz w:val="24"/>
          <w:szCs w:val="24"/>
          <w:lang w:val="zh-CN"/>
        </w:rPr>
      </w:pPr>
      <w:r>
        <w:rPr>
          <w:rFonts w:hint="eastAsia" w:ascii="方正仿宋_GBK" w:hAnsi="方正仿宋_GBK" w:eastAsia="方正仿宋_GBK" w:cs="方正仿宋_GBK"/>
          <w:b w:val="0"/>
          <w:bCs w:val="0"/>
          <w:color w:val="FF0000"/>
          <w:sz w:val="24"/>
          <w:szCs w:val="24"/>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二、质量保证及售后服务内容：</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一</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）产品质量保证期</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1.投标产品质量保证期：</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年。</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2.产品属于国家规定“三包”范围的，其产品质量保证期不得低于“三包”规定。</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3.报价供应商的质量保证期承诺优于国家“三包”规定的，按供应商实际承诺执行，此承诺应当在报价文件中予以明确说明。</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.采购人需要制造商对中标人交付的产品（包括质量、技术参数等）进行确认的，制造商应予以配合，并出具书面意见。</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二</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）售后服务内容</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1.成交供应商和制造商在质量保证期内应当为采购人提供以下技术支持和服务：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（1）电话咨询</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成交供应商应有维修团队，提供报修、技术咨询电话，并保证在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7X</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24小时内及时应答，解答用户在使用中遇到的问题，给予技术支持，及时为用户提出解决问题的建议。</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（2）现场响应</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采购人遇到使用及技术问题，电话咨询不能解决的，成交供应商和制造商应在2小时内提供服务响应及措施，</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小时内提供上门服务，确保产品正常工作；无法在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24</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小时内解决的，应在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48</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小时内提供备用产品，使用户能够正常使用。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2.质保期外服务要求</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（1）质量保证期过后，成交供应商和制造商应同样提供免费电话咨询服务，并应承诺提供产品上门维护服务。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）备品备件及易损件</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成交供应商和制造商售后服务中，维修使用的备品备件及易损件应为原厂配件，未经采购人同意不得使用非原厂配件。</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）包装标准：按国家有关规定进行包装，因包装不当引起的损坏等责任由成交供应商承担。</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、付款方式</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br w:type="textWrapping"/>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 xml:space="preserve">      1、每次</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采购的货物验收合格后，采购人以转账方式向成交供应商支付货款。</w:t>
      </w:r>
    </w:p>
    <w:p>
      <w:pPr>
        <w:pStyle w:val="2"/>
        <w:ind w:firstLine="720" w:firstLineChars="30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2、合同签订前成交供应商向采购人缴纳合同金额10%的履约保证金。</w:t>
      </w:r>
    </w:p>
    <w:p>
      <w:pPr>
        <w:pStyle w:val="2"/>
        <w:ind w:firstLine="720" w:firstLineChars="300"/>
        <w:jc w:val="both"/>
        <w:rPr>
          <w:rFonts w:hint="eastAsia"/>
          <w:lang w:val="zh-CN"/>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3、履约保证金无息退还时间：履约保证金在所有产品供货、安装完毕并经采购人验收合格后，30日内无息退还；如果供应商不满足合同条款违约，则不退还履约保证金并验收不合格。</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四</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违约条款</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（一）除不可抗力和合同约定外，双方不得终止合同；</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（二）质量和安全:产品发生质量问题或产品出现异常情况，成交供应商需承担相应一切法律责任和经济赔偿责任，成交供应商另为此承担违约金</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10</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00元/次，发生两次及以上质量问题视为成交供应商违约，采购人有权终止合同，并没收履约保证金；</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（三）若</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接到医院供货</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要求</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后未在合同约定时间内</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供货或者断供，成交供应商为此承担违约金</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500</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元/次，且承担</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00元/天的超期违约金(自超期之时起，不足一天按照一天计算)，达到5次及以上视为成交供应商违约，采购人有权终止合同，没收履约保证金；退货或换货未在</w:t>
      </w:r>
      <w:r>
        <w:rPr>
          <w:rFonts w:hint="eastAsia" w:ascii="方正仿宋_GBK" w:hAnsi="方正仿宋_GBK" w:eastAsia="方正仿宋_GBK" w:cs="方正仿宋_GBK"/>
          <w:b w:val="0"/>
          <w:bCs w:val="0"/>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个月内处理完成成交供应商为此承担违约金500元/次；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（四）若成交供应商中途失去供货能力，成交供应商为此承担违约金2000元，采购人有权从其它渠道购买且有权终止合同，并没收履约保证金；</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（五）处理产品相关纠纷和投诉不积极或者无效，成交供应商为此承担违约金500元/次；</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（六）所有违约金</w:t>
      </w:r>
      <w:r>
        <w:rPr>
          <w:rFonts w:hint="eastAsia" w:ascii="方正仿宋_GBK" w:hAnsi="方正仿宋_GBK" w:eastAsia="方正仿宋_GBK" w:cs="方正仿宋_GBK"/>
          <w:b w:val="0"/>
          <w:bCs w:val="0"/>
          <w:color w:val="000000" w:themeColor="text1"/>
          <w:sz w:val="24"/>
          <w:szCs w:val="24"/>
          <w:lang w:val="zh-CN" w:eastAsia="zh-CN"/>
          <w14:textFill>
            <w14:solidFill>
              <w14:schemeClr w14:val="tx1"/>
            </w14:solidFill>
          </w14:textFill>
        </w:rPr>
        <w:t>优先</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在结算金额中扣除。</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五、知识产权</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采购人在中华人民共和国境内使用报价人提供的货物及服务时免受第三方提出的侵犯其专利权或其它知识产权的起诉。如果第三方提出侵权指控，成交人应承担由此而引起的一切法律责任和费用。</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eastAsia="zh-CN"/>
          <w14:textFill>
            <w14:solidFill>
              <w14:schemeClr w14:val="tx1"/>
            </w14:solidFill>
          </w14:textFill>
        </w:rPr>
        <w:t>六</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、其他</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一</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供应商</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必须在报价文件中对以上条款和服务承诺明确列出，承诺内容必须达到本章及采购文件其他条款的要求。</w:t>
      </w:r>
    </w:p>
    <w:p>
      <w:pPr>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二</w:t>
      </w:r>
      <w:r>
        <w:rPr>
          <w:rFonts w:hint="eastAsia" w:ascii="方正仿宋_GBK" w:hAnsi="方正仿宋_GBK" w:eastAsia="方正仿宋_GBK" w:cs="方正仿宋_GBK"/>
          <w:b w:val="0"/>
          <w:bCs w:val="0"/>
          <w:color w:val="000000" w:themeColor="text1"/>
          <w:sz w:val="24"/>
          <w:szCs w:val="24"/>
          <w:lang w:val="zh-CN"/>
          <w14:textFill>
            <w14:solidFill>
              <w14:schemeClr w14:val="tx1"/>
            </w14:solidFill>
          </w14:textFill>
        </w:rPr>
        <w:t>）其他未尽事宜由供需双方在采购合同中详细约定。</w:t>
      </w:r>
    </w:p>
    <w:p>
      <w:pPr>
        <w:numPr>
          <w:ilvl w:val="0"/>
          <w:numId w:val="0"/>
        </w:numPr>
        <w:ind w:leftChars="0"/>
        <w:rPr>
          <w:rFonts w:hint="eastAsia"/>
        </w:rPr>
      </w:pPr>
    </w:p>
    <w:bookmarkEnd w:id="83"/>
    <w:bookmarkEnd w:id="84"/>
    <w:p>
      <w:pPr>
        <w:pStyle w:val="4"/>
        <w:jc w:val="center"/>
        <w:rPr>
          <w:rStyle w:val="114"/>
          <w:rFonts w:hint="eastAsia" w:ascii="宋体" w:hAnsi="宋体" w:eastAsia="宋体" w:cs="宋体"/>
          <w:b/>
          <w:bCs/>
          <w:color w:val="auto"/>
          <w:highlight w:val="none"/>
        </w:rPr>
      </w:pPr>
      <w:bookmarkStart w:id="85" w:name="_Toc4997"/>
      <w:bookmarkStart w:id="86" w:name="_Toc12942"/>
      <w:bookmarkStart w:id="87" w:name="_Toc487204796"/>
    </w:p>
    <w:p>
      <w:pPr>
        <w:rPr>
          <w:rStyle w:val="114"/>
          <w:rFonts w:hint="eastAsia" w:ascii="宋体" w:hAnsi="宋体" w:eastAsia="宋体" w:cs="宋体"/>
          <w:b/>
          <w:bCs/>
          <w:color w:val="auto"/>
          <w:highlight w:val="none"/>
        </w:rPr>
      </w:pPr>
    </w:p>
    <w:p>
      <w:pPr>
        <w:pStyle w:val="2"/>
        <w:rPr>
          <w:rStyle w:val="114"/>
          <w:rFonts w:hint="eastAsia" w:ascii="宋体" w:hAnsi="宋体" w:eastAsia="宋体" w:cs="宋体"/>
          <w:b/>
          <w:bCs/>
          <w:color w:val="auto"/>
          <w:highlight w:val="none"/>
        </w:rPr>
      </w:pPr>
    </w:p>
    <w:p>
      <w:pPr>
        <w:pStyle w:val="2"/>
        <w:rPr>
          <w:rStyle w:val="114"/>
          <w:rFonts w:hint="eastAsia" w:ascii="宋体" w:hAnsi="宋体" w:eastAsia="宋体" w:cs="宋体"/>
          <w:b/>
          <w:bCs/>
          <w:color w:val="auto"/>
          <w:highlight w:val="none"/>
        </w:rPr>
      </w:pPr>
    </w:p>
    <w:p>
      <w:pPr>
        <w:pStyle w:val="4"/>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t>第五篇  格式合同（样本）</w:t>
      </w:r>
      <w:bookmarkEnd w:id="85"/>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5"/>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4"/>
        <w:spacing w:line="360" w:lineRule="auto"/>
        <w:jc w:val="center"/>
        <w:rPr>
          <w:rFonts w:hint="eastAsia" w:ascii="宋体" w:hAnsi="宋体" w:eastAsia="宋体" w:cs="宋体"/>
          <w:b w:val="0"/>
          <w:color w:val="auto"/>
          <w:highlight w:val="none"/>
        </w:rPr>
      </w:pPr>
      <w:bookmarkStart w:id="88" w:name="_Toc2024"/>
      <w:r>
        <w:rPr>
          <w:rFonts w:hint="eastAsia" w:ascii="宋体" w:hAnsi="宋体" w:eastAsia="宋体" w:cs="宋体"/>
          <w:bCs w:val="0"/>
          <w:color w:val="auto"/>
          <w:highlight w:val="none"/>
        </w:rPr>
        <w:t>第六篇  响应文件格式要求</w:t>
      </w:r>
      <w:bookmarkEnd w:id="86"/>
      <w:bookmarkEnd w:id="87"/>
      <w:bookmarkEnd w:id="88"/>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pPr>
        <w:pStyle w:val="5"/>
        <w:spacing w:before="0" w:after="0" w:line="360" w:lineRule="auto"/>
        <w:rPr>
          <w:rFonts w:hint="eastAsia" w:ascii="宋体" w:hAnsi="宋体" w:cs="宋体"/>
          <w:color w:val="auto"/>
          <w:sz w:val="24"/>
          <w:szCs w:val="24"/>
          <w:highlight w:val="none"/>
        </w:rPr>
      </w:pPr>
      <w:bookmarkStart w:id="89" w:name="_Toc486585240"/>
      <w:bookmarkStart w:id="90" w:name="_Toc486608277"/>
      <w:bookmarkStart w:id="91" w:name="_Toc14854"/>
      <w:bookmarkStart w:id="92" w:name="_Toc17444"/>
      <w:bookmarkStart w:id="93" w:name="_Toc487204797"/>
      <w:r>
        <w:rPr>
          <w:rFonts w:hint="eastAsia" w:ascii="宋体" w:hAnsi="宋体" w:cs="宋体"/>
          <w:color w:val="auto"/>
          <w:sz w:val="24"/>
          <w:szCs w:val="24"/>
          <w:highlight w:val="none"/>
        </w:rPr>
        <w:t>一、经济部分</w:t>
      </w:r>
      <w:bookmarkEnd w:id="89"/>
      <w:bookmarkEnd w:id="90"/>
      <w:bookmarkEnd w:id="91"/>
      <w:bookmarkEnd w:id="92"/>
      <w:bookmarkEnd w:id="93"/>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24"/>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24"/>
        <w:rPr>
          <w:rFonts w:hint="eastAsia" w:ascii="宋体" w:hAnsi="宋体" w:cs="宋体"/>
          <w:color w:val="auto"/>
          <w:sz w:val="24"/>
          <w:szCs w:val="24"/>
          <w:highlight w:val="none"/>
        </w:rPr>
      </w:pPr>
    </w:p>
    <w:p>
      <w:pPr>
        <w:pStyle w:val="5"/>
        <w:spacing w:before="0" w:after="0" w:line="360" w:lineRule="auto"/>
        <w:rPr>
          <w:rFonts w:hint="eastAsia" w:ascii="宋体" w:hAnsi="宋体" w:cs="宋体"/>
          <w:color w:val="auto"/>
          <w:sz w:val="24"/>
          <w:szCs w:val="24"/>
          <w:highlight w:val="none"/>
        </w:rPr>
      </w:pPr>
      <w:bookmarkStart w:id="94" w:name="_Toc486608278"/>
      <w:bookmarkStart w:id="95" w:name="_Toc487204798"/>
      <w:bookmarkStart w:id="96" w:name="_Toc3192"/>
      <w:bookmarkStart w:id="97" w:name="_Toc7284"/>
      <w:bookmarkStart w:id="98" w:name="_Toc486585241"/>
      <w:r>
        <w:rPr>
          <w:rFonts w:hint="eastAsia" w:ascii="宋体" w:hAnsi="宋体" w:cs="宋体"/>
          <w:color w:val="auto"/>
          <w:sz w:val="24"/>
          <w:szCs w:val="24"/>
          <w:highlight w:val="none"/>
        </w:rPr>
        <w:t>二、技术部分</w:t>
      </w:r>
      <w:bookmarkEnd w:id="94"/>
      <w:bookmarkEnd w:id="95"/>
      <w:bookmarkEnd w:id="96"/>
      <w:bookmarkEnd w:id="97"/>
      <w:bookmarkEnd w:id="9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5"/>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99" w:name="_Toc486585242"/>
      <w:bookmarkStart w:id="100" w:name="_Toc487204799"/>
      <w:bookmarkStart w:id="101" w:name="_Toc8428"/>
      <w:bookmarkStart w:id="102" w:name="_Toc486608279"/>
      <w:bookmarkStart w:id="103" w:name="_Toc17029"/>
      <w:r>
        <w:rPr>
          <w:rFonts w:hint="eastAsia" w:ascii="宋体" w:hAnsi="宋体" w:cs="宋体"/>
          <w:color w:val="auto"/>
          <w:sz w:val="24"/>
          <w:szCs w:val="24"/>
          <w:highlight w:val="none"/>
        </w:rPr>
        <w:t>三、商务部分</w:t>
      </w:r>
      <w:bookmarkEnd w:id="99"/>
      <w:bookmarkEnd w:id="100"/>
      <w:bookmarkEnd w:id="101"/>
      <w:bookmarkEnd w:id="102"/>
      <w:bookmarkEnd w:id="10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3"/>
        <w:rPr>
          <w:rFonts w:hint="eastAsia" w:ascii="宋体" w:hAnsi="宋体" w:cs="宋体"/>
          <w:color w:val="auto"/>
          <w:highlight w:val="none"/>
        </w:rPr>
      </w:pPr>
    </w:p>
    <w:p>
      <w:pPr>
        <w:pStyle w:val="5"/>
        <w:spacing w:before="0" w:after="0" w:line="360" w:lineRule="auto"/>
        <w:rPr>
          <w:rFonts w:hint="eastAsia" w:ascii="宋体" w:hAnsi="宋体" w:cs="宋体"/>
          <w:color w:val="auto"/>
          <w:sz w:val="24"/>
          <w:szCs w:val="24"/>
          <w:highlight w:val="none"/>
        </w:rPr>
      </w:pPr>
      <w:bookmarkStart w:id="104" w:name="_Toc8290"/>
      <w:bookmarkStart w:id="105" w:name="_Toc487204800"/>
      <w:bookmarkStart w:id="106" w:name="_Toc23557"/>
      <w:bookmarkStart w:id="107" w:name="_Toc486585243"/>
      <w:bookmarkStart w:id="108" w:name="_Toc486608280"/>
      <w:bookmarkStart w:id="109" w:name="_Toc3579"/>
      <w:r>
        <w:rPr>
          <w:rFonts w:hint="eastAsia" w:ascii="宋体" w:hAnsi="宋体" w:cs="宋体"/>
          <w:color w:val="auto"/>
          <w:sz w:val="24"/>
          <w:szCs w:val="24"/>
          <w:highlight w:val="none"/>
        </w:rPr>
        <w:t>四、资格条件及其他</w:t>
      </w:r>
      <w:bookmarkEnd w:id="104"/>
      <w:bookmarkEnd w:id="105"/>
      <w:bookmarkEnd w:id="106"/>
      <w:bookmarkEnd w:id="107"/>
      <w:bookmarkEnd w:id="108"/>
      <w:bookmarkEnd w:id="109"/>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color w:val="auto"/>
          <w:highlight w:val="none"/>
        </w:rPr>
      </w:pPr>
    </w:p>
    <w:p>
      <w:pPr>
        <w:tabs>
          <w:tab w:val="left" w:pos="6300"/>
        </w:tabs>
        <w:snapToGrid w:val="0"/>
        <w:spacing w:line="360" w:lineRule="auto"/>
        <w:ind w:firstLine="570"/>
        <w:jc w:val="left"/>
        <w:rPr>
          <w:rFonts w:hint="eastAsia" w:ascii="宋体" w:hAnsi="宋体" w:cs="宋体"/>
          <w:color w:val="auto"/>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24"/>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24"/>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5"/>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0"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11" w:name="_Toc487204801"/>
      <w:bookmarkStart w:id="112" w:name="_Toc11824"/>
      <w:bookmarkStart w:id="113" w:name="_Toc29032"/>
      <w:bookmarkStart w:id="114" w:name="_Toc486608281"/>
      <w:bookmarkStart w:id="115" w:name="_Toc486585244"/>
      <w:r>
        <w:rPr>
          <w:rFonts w:hint="eastAsia" w:ascii="宋体" w:hAnsi="宋体" w:cs="宋体"/>
          <w:color w:val="auto"/>
          <w:sz w:val="24"/>
          <w:szCs w:val="24"/>
          <w:highlight w:val="none"/>
        </w:rPr>
        <w:t>五、其他应提供的资料</w:t>
      </w:r>
      <w:bookmarkEnd w:id="110"/>
      <w:bookmarkEnd w:id="111"/>
      <w:bookmarkEnd w:id="112"/>
      <w:bookmarkEnd w:id="113"/>
      <w:bookmarkEnd w:id="114"/>
      <w:bookmarkEnd w:id="115"/>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11C75E"/>
    <w:multiLevelType w:val="singleLevel"/>
    <w:tmpl w:val="5C11C75E"/>
    <w:lvl w:ilvl="0" w:tentative="0">
      <w:start w:val="1"/>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7"/>
  </w:num>
  <w:num w:numId="8">
    <w:abstractNumId w:val="2"/>
  </w:num>
  <w:num w:numId="9">
    <w:abstractNumId w:val="3"/>
  </w:num>
  <w:num w:numId="10">
    <w:abstractNumId w:val="12"/>
  </w:num>
  <w:num w:numId="11">
    <w:abstractNumId w:val="5"/>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jhmODViODk5ZTdkYWI0MTIzMmRiMDkwOThiNG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086B8D"/>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B225D1"/>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9F7F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1D3AE0"/>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2FC81AB6"/>
    <w:rsid w:val="300B7F45"/>
    <w:rsid w:val="300F420C"/>
    <w:rsid w:val="30447604"/>
    <w:rsid w:val="307A69DE"/>
    <w:rsid w:val="30944B56"/>
    <w:rsid w:val="30990304"/>
    <w:rsid w:val="30AD5646"/>
    <w:rsid w:val="310A38D5"/>
    <w:rsid w:val="31B40111"/>
    <w:rsid w:val="31C3209F"/>
    <w:rsid w:val="31C50788"/>
    <w:rsid w:val="31FA4A16"/>
    <w:rsid w:val="31FD25A7"/>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8C05B4B"/>
    <w:rsid w:val="49131290"/>
    <w:rsid w:val="491B3397"/>
    <w:rsid w:val="492E29AF"/>
    <w:rsid w:val="496149D6"/>
    <w:rsid w:val="496304C7"/>
    <w:rsid w:val="496A4929"/>
    <w:rsid w:val="49A224D0"/>
    <w:rsid w:val="49FB517E"/>
    <w:rsid w:val="4A243541"/>
    <w:rsid w:val="4B297DA8"/>
    <w:rsid w:val="4B2F13AD"/>
    <w:rsid w:val="4B3769A6"/>
    <w:rsid w:val="4B702118"/>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5E1BC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EE4149"/>
    <w:rsid w:val="68F42194"/>
    <w:rsid w:val="68FA57D8"/>
    <w:rsid w:val="68FD5785"/>
    <w:rsid w:val="692C1D15"/>
    <w:rsid w:val="69400FAA"/>
    <w:rsid w:val="69AD76D2"/>
    <w:rsid w:val="69F56DF7"/>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7E77EDE"/>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025FA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Body Text First Indent"/>
    <w:basedOn w:val="23"/>
    <w:next w:val="1"/>
    <w:qFormat/>
    <w:uiPriority w:val="0"/>
    <w:pPr>
      <w:spacing w:line="360" w:lineRule="auto"/>
      <w:ind w:firstLine="420"/>
    </w:pPr>
    <w:rPr>
      <w:rFonts w:ascii="宋体" w:hAnsi="宋体"/>
      <w:sz w:val="24"/>
    </w:rPr>
  </w:style>
  <w:style w:type="paragraph" w:styleId="25">
    <w:name w:val="Body Text Indent"/>
    <w:basedOn w:val="1"/>
    <w:next w:val="26"/>
    <w:link w:val="71"/>
    <w:qFormat/>
    <w:uiPriority w:val="0"/>
    <w:pPr>
      <w:spacing w:line="700" w:lineRule="exact"/>
      <w:ind w:left="960"/>
    </w:pPr>
    <w:rPr>
      <w:sz w:val="44"/>
    </w:rPr>
  </w:style>
  <w:style w:type="paragraph" w:customStyle="1" w:styleId="26">
    <w:name w:val="目录 71"/>
    <w:basedOn w:val="1"/>
    <w:next w:val="1"/>
    <w:qFormat/>
    <w:uiPriority w:val="0"/>
    <w:pPr>
      <w:ind w:left="2520"/>
    </w:p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rPr>
      <w:rFonts w:ascii="Times New Roman" w:hAnsi="Times New Roman" w:eastAsia="宋体"/>
      <w:sz w:val="24"/>
    </w:r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6"/>
    <w:qFormat/>
    <w:uiPriority w:val="0"/>
  </w:style>
  <w:style w:type="paragraph" w:styleId="36">
    <w:name w:val="Body Text Indent 2"/>
    <w:basedOn w:val="1"/>
    <w:link w:val="10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next w:val="39"/>
    <w:qFormat/>
    <w:uiPriority w:val="0"/>
    <w:pPr>
      <w:tabs>
        <w:tab w:val="center" w:pos="4153"/>
        <w:tab w:val="right" w:pos="8306"/>
      </w:tabs>
      <w:snapToGrid w:val="0"/>
      <w:jc w:val="left"/>
    </w:pPr>
    <w:rPr>
      <w:sz w:val="18"/>
    </w:rPr>
  </w:style>
  <w:style w:type="paragraph" w:customStyle="1" w:styleId="39">
    <w:name w:val="索引 51"/>
    <w:basedOn w:val="1"/>
    <w:next w:val="1"/>
    <w:qFormat/>
    <w:uiPriority w:val="99"/>
    <w:pPr>
      <w:ind w:left="1680"/>
    </w:pPr>
    <w:rPr>
      <w:rFonts w:ascii="Calibri" w:hAnsi="Calibri"/>
    </w:rPr>
  </w:style>
  <w:style w:type="paragraph" w:styleId="40">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110"/>
    <w:qFormat/>
    <w:uiPriority w:val="0"/>
    <w:pPr>
      <w:adjustRightInd/>
      <w:spacing w:line="240" w:lineRule="auto"/>
      <w:textAlignment w:val="auto"/>
    </w:pPr>
  </w:style>
  <w:style w:type="paragraph" w:styleId="59">
    <w:name w:val="Body Text First Indent 2"/>
    <w:basedOn w:val="25"/>
    <w:next w:val="24"/>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5"/>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0"/>
    <w:qFormat/>
    <w:uiPriority w:val="0"/>
    <w:rPr>
      <w:sz w:val="24"/>
    </w:rPr>
  </w:style>
  <w:style w:type="character" w:customStyle="1" w:styleId="76">
    <w:name w:val="日期 Char"/>
    <w:link w:val="35"/>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40"/>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5"/>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6"/>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4"/>
    <w:qFormat/>
    <w:uiPriority w:val="0"/>
    <w:rPr>
      <w:rFonts w:ascii="Arial" w:hAnsi="Arial" w:eastAsia="黑体"/>
      <w:b/>
      <w:kern w:val="2"/>
      <w:sz w:val="32"/>
    </w:rPr>
  </w:style>
  <w:style w:type="paragraph" w:customStyle="1" w:styleId="115">
    <w:name w:val="标题3——2"/>
    <w:basedOn w:val="5"/>
    <w:next w:val="24"/>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8"/>
    <w:qFormat/>
    <w:uiPriority w:val="0"/>
    <w:rPr>
      <w:rFonts w:ascii="Tahoma" w:hAnsi="Tahoma"/>
      <w:sz w:val="24"/>
    </w:rPr>
  </w:style>
  <w:style w:type="paragraph" w:customStyle="1" w:styleId="128">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3"/>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6"/>
    <w:qFormat/>
    <w:uiPriority w:val="0"/>
    <w:pPr>
      <w:ind w:firstLine="480" w:firstLineChars="200"/>
    </w:pPr>
  </w:style>
  <w:style w:type="paragraph" w:customStyle="1" w:styleId="173">
    <w:name w:val="表格内文字"/>
    <w:basedOn w:val="33"/>
    <w:qFormat/>
    <w:uiPriority w:val="0"/>
    <w:pPr>
      <w:adjustRightInd w:val="0"/>
    </w:pPr>
    <w:rPr>
      <w:color w:val="000000"/>
      <w:lang w:val="en-GB"/>
    </w:rPr>
  </w:style>
  <w:style w:type="paragraph" w:customStyle="1" w:styleId="174">
    <w:name w:val="Char Char Char Char Char Char Char"/>
    <w:basedOn w:val="18"/>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6"/>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3"/>
    <w:qFormat/>
    <w:uiPriority w:val="0"/>
    <w:pPr>
      <w:adjustRightInd w:val="0"/>
      <w:snapToGrid w:val="0"/>
      <w:spacing w:line="440" w:lineRule="exact"/>
      <w:ind w:firstLine="567"/>
    </w:pPr>
    <w:rPr>
      <w:sz w:val="28"/>
    </w:rPr>
  </w:style>
  <w:style w:type="paragraph" w:customStyle="1" w:styleId="233">
    <w:name w:val="样式4"/>
    <w:basedOn w:val="6"/>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4"/>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3"/>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3"/>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11007</Words>
  <Characters>11518</Characters>
  <Lines>163</Lines>
  <Paragraphs>46</Paragraphs>
  <TotalTime>39</TotalTime>
  <ScaleCrop>false</ScaleCrop>
  <LinksUpToDate>false</LinksUpToDate>
  <CharactersWithSpaces>12701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2024-07-22T07:46:00Z</cp:lastPrinted>
  <dcterms:modified xsi:type="dcterms:W3CDTF">2025-05-21T09:01:53Z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