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pPr>
        <w:jc w:val="center"/>
        <w:rPr>
          <w:rFonts w:hint="eastAsia" w:ascii="仿宋" w:hAnsi="仿宋" w:eastAsia="仿宋" w:cs="仿宋"/>
          <w:color w:val="auto"/>
          <w:highlight w:val="none"/>
        </w:rPr>
      </w:pPr>
    </w:p>
    <w:p>
      <w:pPr>
        <w:jc w:val="center"/>
        <w:rPr>
          <w:rFonts w:hint="eastAsia" w:ascii="仿宋" w:hAnsi="仿宋" w:eastAsia="仿宋" w:cs="仿宋"/>
          <w:color w:val="auto"/>
          <w:highlight w:val="none"/>
        </w:rPr>
      </w:pPr>
    </w:p>
    <w:p>
      <w:pPr>
        <w:jc w:val="center"/>
        <w:outlineLvl w:val="0"/>
        <w:rPr>
          <w:rFonts w:hint="eastAsia" w:ascii="仿宋" w:hAnsi="仿宋" w:eastAsia="仿宋" w:cs="仿宋"/>
          <w:b/>
          <w:bCs/>
          <w:color w:val="auto"/>
          <w:spacing w:val="80"/>
          <w:sz w:val="100"/>
          <w:szCs w:val="100"/>
          <w:highlight w:val="none"/>
          <w:lang w:eastAsia="zh-CN"/>
        </w:rPr>
      </w:pPr>
      <w:r>
        <w:rPr>
          <w:rFonts w:hint="eastAsia" w:ascii="仿宋" w:hAnsi="仿宋" w:eastAsia="仿宋" w:cs="仿宋"/>
          <w:b/>
          <w:bCs/>
          <w:color w:val="auto"/>
          <w:spacing w:val="80"/>
          <w:sz w:val="100"/>
          <w:szCs w:val="100"/>
          <w:highlight w:val="none"/>
          <w:lang w:val="en-US" w:eastAsia="zh-CN"/>
        </w:rPr>
        <w:t>询价采购</w:t>
      </w:r>
    </w:p>
    <w:p>
      <w:pPr>
        <w:jc w:val="center"/>
        <w:outlineLvl w:val="0"/>
        <w:rPr>
          <w:rFonts w:hint="eastAsia" w:ascii="仿宋" w:hAnsi="仿宋" w:eastAsia="仿宋" w:cs="仿宋"/>
          <w:color w:val="auto"/>
          <w:sz w:val="90"/>
          <w:szCs w:val="90"/>
          <w:highlight w:val="none"/>
        </w:rPr>
      </w:pPr>
      <w:r>
        <w:rPr>
          <w:rFonts w:hint="eastAsia" w:ascii="仿宋" w:hAnsi="仿宋" w:eastAsia="仿宋" w:cs="仿宋"/>
          <w:b/>
          <w:bCs/>
          <w:color w:val="auto"/>
          <w:spacing w:val="80"/>
          <w:sz w:val="100"/>
          <w:szCs w:val="100"/>
          <w:highlight w:val="none"/>
        </w:rPr>
        <w:t>文件</w:t>
      </w:r>
    </w:p>
    <w:p>
      <w:pPr>
        <w:spacing w:line="480" w:lineRule="exact"/>
        <w:jc w:val="left"/>
        <w:rPr>
          <w:rFonts w:hint="eastAsia" w:ascii="仿宋" w:hAnsi="仿宋" w:eastAsia="仿宋" w:cs="仿宋"/>
          <w:b/>
          <w:bCs/>
          <w:color w:val="auto"/>
          <w:sz w:val="36"/>
          <w:szCs w:val="36"/>
          <w:highlight w:val="none"/>
        </w:rPr>
      </w:pPr>
    </w:p>
    <w:p>
      <w:pPr>
        <w:ind w:left="3249" w:leftChars="192" w:hanging="2711" w:hangingChars="75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w:t>
      </w:r>
    </w:p>
    <w:p>
      <w:pPr>
        <w:pStyle w:val="3"/>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line="700" w:lineRule="exact"/>
        <w:ind w:firstLine="1080" w:firstLineChars="300"/>
        <w:textAlignment w:val="auto"/>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项目名称：</w:t>
      </w:r>
      <w:r>
        <w:rPr>
          <w:rFonts w:hint="eastAsia" w:ascii="仿宋" w:hAnsi="仿宋" w:eastAsia="仿宋" w:cs="仿宋"/>
          <w:color w:val="auto"/>
          <w:sz w:val="36"/>
          <w:szCs w:val="36"/>
          <w:highlight w:val="none"/>
          <w:lang w:val="en-US" w:eastAsia="zh-CN"/>
        </w:rPr>
        <w:t>荣昌区人民医院常用维修材料等物资采购(第二次)</w:t>
      </w:r>
    </w:p>
    <w:p>
      <w:pPr>
        <w:spacing w:line="720" w:lineRule="exact"/>
        <w:ind w:firstLine="1080" w:firstLineChars="300"/>
        <w:jc w:val="both"/>
        <w:outlineLvl w:val="0"/>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采购人：</w:t>
      </w: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color w:val="auto"/>
          <w:sz w:val="36"/>
          <w:szCs w:val="36"/>
          <w:highlight w:val="none"/>
          <w:lang w:eastAsia="zh-CN"/>
        </w:rPr>
        <w:t>重庆市</w:t>
      </w:r>
      <w:r>
        <w:rPr>
          <w:rFonts w:hint="eastAsia" w:ascii="仿宋" w:hAnsi="仿宋" w:eastAsia="仿宋" w:cs="仿宋"/>
          <w:color w:val="auto"/>
          <w:sz w:val="36"/>
          <w:szCs w:val="36"/>
          <w:highlight w:val="none"/>
          <w:lang w:val="en-US" w:eastAsia="zh-CN"/>
        </w:rPr>
        <w:t>荣昌区人民医院</w:t>
      </w: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lang w:val="en-US" w:eastAsia="zh-CN"/>
        </w:rPr>
      </w:pPr>
    </w:p>
    <w:p>
      <w:pPr>
        <w:spacing w:line="720" w:lineRule="exact"/>
        <w:jc w:val="both"/>
        <w:outlineLvl w:val="0"/>
        <w:rPr>
          <w:rFonts w:hint="eastAsia" w:ascii="仿宋" w:hAnsi="仿宋" w:eastAsia="仿宋" w:cs="仿宋"/>
          <w:color w:val="auto"/>
          <w:sz w:val="36"/>
          <w:szCs w:val="36"/>
          <w:highlight w:val="none"/>
          <w:lang w:val="en-US" w:eastAsia="zh-CN"/>
        </w:rPr>
      </w:pPr>
    </w:p>
    <w:p>
      <w:pPr>
        <w:spacing w:line="720" w:lineRule="exact"/>
        <w:jc w:val="center"/>
        <w:outlineLvl w:val="0"/>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二〇二</w:t>
      </w:r>
      <w:r>
        <w:rPr>
          <w:rFonts w:hint="eastAsia" w:ascii="仿宋" w:hAnsi="仿宋" w:eastAsia="仿宋" w:cs="仿宋"/>
          <w:color w:val="auto"/>
          <w:sz w:val="36"/>
          <w:szCs w:val="36"/>
          <w:highlight w:val="none"/>
          <w:lang w:val="en-US" w:eastAsia="zh-CN"/>
        </w:rPr>
        <w:t>五</w:t>
      </w:r>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lang w:eastAsia="zh-CN"/>
        </w:rPr>
        <w:t>三</w:t>
      </w:r>
      <w:r>
        <w:rPr>
          <w:rFonts w:hint="eastAsia" w:ascii="仿宋" w:hAnsi="仿宋" w:eastAsia="仿宋" w:cs="仿宋"/>
          <w:color w:val="auto"/>
          <w:sz w:val="36"/>
          <w:szCs w:val="36"/>
          <w:highlight w:val="none"/>
        </w:rPr>
        <w:t>月</w:t>
      </w:r>
    </w:p>
    <w:p>
      <w:pPr>
        <w:spacing w:line="480" w:lineRule="exact"/>
        <w:jc w:val="center"/>
        <w:outlineLvl w:val="0"/>
        <w:rPr>
          <w:rFonts w:hint="eastAsia" w:ascii="仿宋" w:hAnsi="仿宋" w:eastAsia="仿宋" w:cs="仿宋"/>
          <w:color w:val="auto"/>
          <w:szCs w:val="24"/>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color w:val="auto"/>
          <w:sz w:val="44"/>
          <w:szCs w:val="28"/>
          <w:highlight w:val="none"/>
        </w:rPr>
        <w:br w:type="page"/>
      </w:r>
    </w:p>
    <w:p>
      <w:pPr>
        <w:spacing w:line="480" w:lineRule="exact"/>
        <w:jc w:val="both"/>
        <w:outlineLvl w:val="0"/>
        <w:rPr>
          <w:rFonts w:hint="eastAsia" w:ascii="宋体" w:hAnsi="宋体" w:cs="宋体"/>
          <w:b/>
          <w:bCs/>
          <w:color w:val="auto"/>
          <w:sz w:val="36"/>
          <w:szCs w:val="36"/>
          <w:highlight w:val="none"/>
        </w:rPr>
      </w:pPr>
      <w:bookmarkStart w:id="0" w:name="_Toc4351"/>
      <w:bookmarkStart w:id="1" w:name="_Toc12789052"/>
      <w:bookmarkStart w:id="2" w:name="_Toc12667"/>
      <w:bookmarkStart w:id="3" w:name="_Toc11641050"/>
    </w:p>
    <w:p>
      <w:pPr>
        <w:spacing w:line="480" w:lineRule="exact"/>
        <w:jc w:val="center"/>
        <w:outlineLvl w:val="0"/>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pStyle w:val="49"/>
        <w:tabs>
          <w:tab w:val="right" w:leader="dot" w:pos="9525"/>
        </w:tabs>
        <w:ind w:left="480"/>
        <w:rPr>
          <w:b/>
          <w:bCs/>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\o "1-3" \h \z </w:instrText>
      </w:r>
      <w:r>
        <w:rPr>
          <w:rFonts w:hint="eastAsia" w:ascii="宋体" w:hAnsi="宋体" w:cs="宋体"/>
          <w:color w:val="auto"/>
          <w:sz w:val="24"/>
          <w:szCs w:val="24"/>
          <w:highlight w:val="none"/>
        </w:rPr>
        <w:fldChar w:fldCharType="separate"/>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_Toc20325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第一篇  询价采购邀请书</w:t>
      </w:r>
      <w:r>
        <w:rPr>
          <w:b/>
          <w:bCs/>
          <w:color w:val="auto"/>
          <w:sz w:val="24"/>
          <w:szCs w:val="24"/>
          <w:highlight w:val="none"/>
        </w:rPr>
        <w:tab/>
      </w:r>
      <w:r>
        <w:rPr>
          <w:rFonts w:hint="eastAsia"/>
          <w:b/>
          <w:bCs/>
          <w:color w:val="auto"/>
          <w:sz w:val="24"/>
          <w:szCs w:val="24"/>
          <w:highlight w:val="none"/>
          <w:lang w:val="en-US" w:eastAsia="zh-CN"/>
        </w:rPr>
        <w:t>2</w:t>
      </w:r>
      <w:r>
        <w:rPr>
          <w:rFonts w:hint="eastAsia" w:ascii="宋体" w:hAnsi="宋体" w:cs="宋体"/>
          <w:b/>
          <w:bCs/>
          <w:color w:val="auto"/>
          <w:sz w:val="24"/>
          <w:szCs w:val="24"/>
          <w:highlight w:val="none"/>
        </w:rPr>
        <w:fldChar w:fldCharType="end"/>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_Toc16025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一、询价内容</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_Toc3809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二、资金来源</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_Toc26257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三、询价资格</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_Toc24410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四、询价相关说明</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_Toc10531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五、保证金</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31"/>
        <w:tabs>
          <w:tab w:val="right" w:leader="dot" w:pos="9525"/>
        </w:tabs>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_Toc2679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、其它有关规定</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_Toc3437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七</w:t>
      </w:r>
      <w:r>
        <w:rPr>
          <w:rFonts w:hint="eastAsia" w:ascii="宋体" w:hAnsi="宋体" w:cs="宋体"/>
          <w:color w:val="auto"/>
          <w:sz w:val="24"/>
          <w:szCs w:val="24"/>
          <w:highlight w:val="none"/>
        </w:rPr>
        <w:t>、联系方式</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w:t>
      </w:r>
    </w:p>
    <w:p>
      <w:pPr>
        <w:pStyle w:val="49"/>
        <w:tabs>
          <w:tab w:val="right" w:leader="dot" w:pos="9525"/>
        </w:tabs>
        <w:ind w:left="480"/>
        <w:rPr>
          <w:rFonts w:hint="eastAsia" w:eastAsia="宋体"/>
          <w:b/>
          <w:bCs/>
          <w:color w:val="auto"/>
          <w:sz w:val="24"/>
          <w:szCs w:val="24"/>
          <w:highlight w:val="none"/>
          <w:lang w:val="en-US" w:eastAsia="zh-CN"/>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_Toc28376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第二篇  供应商须知</w:t>
      </w:r>
      <w:r>
        <w:rPr>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4</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_Toc15268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询价费用</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_Toc12869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询价通知书</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pPr>
        <w:pStyle w:val="31"/>
        <w:tabs>
          <w:tab w:val="right" w:leader="dot" w:pos="9525"/>
        </w:tabs>
        <w:ind w:left="96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_Toc12763 </w:instrText>
      </w:r>
      <w:r>
        <w:rPr>
          <w:rFonts w:hint="eastAsia" w:ascii="宋体" w:hAnsi="宋体" w:cs="宋体"/>
          <w:color w:val="auto"/>
          <w:sz w:val="24"/>
          <w:szCs w:val="24"/>
          <w:highlight w:val="none"/>
        </w:rPr>
        <w:fldChar w:fldCharType="separate"/>
      </w:r>
      <w:r>
        <w:rPr>
          <w:rFonts w:hint="eastAsia" w:ascii="宋体" w:hAnsi="宋体" w:cs="宋体"/>
          <w:bCs/>
          <w:color w:val="auto"/>
          <w:kern w:val="0"/>
          <w:sz w:val="24"/>
          <w:szCs w:val="24"/>
          <w:highlight w:val="none"/>
        </w:rPr>
        <w:t>三、</w:t>
      </w:r>
      <w:r>
        <w:rPr>
          <w:rFonts w:hint="eastAsia" w:ascii="宋体" w:hAnsi="宋体" w:cs="宋体"/>
          <w:color w:val="auto"/>
          <w:sz w:val="24"/>
          <w:szCs w:val="24"/>
          <w:highlight w:val="none"/>
          <w:lang w:eastAsia="zh-CN"/>
        </w:rPr>
        <w:t>询价</w:t>
      </w:r>
      <w:r>
        <w:rPr>
          <w:rFonts w:hint="eastAsia" w:ascii="宋体" w:hAnsi="宋体" w:cs="宋体"/>
          <w:bCs/>
          <w:color w:val="auto"/>
          <w:kern w:val="0"/>
          <w:sz w:val="24"/>
          <w:szCs w:val="24"/>
          <w:highlight w:val="none"/>
        </w:rPr>
        <w:t>要求</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4</w:t>
      </w:r>
    </w:p>
    <w:p>
      <w:pP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四、询价程序及成交标准                                                6</w:t>
      </w:r>
    </w:p>
    <w:p>
      <w:pPr>
        <w:pStyle w:val="3"/>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五、评审依据                                                         </w:t>
      </w:r>
      <w:r>
        <w:rPr>
          <w:rFonts w:hint="eastAsia" w:cs="宋体"/>
          <w:color w:val="auto"/>
          <w:sz w:val="24"/>
          <w:szCs w:val="24"/>
          <w:highlight w:val="none"/>
          <w:lang w:val="en-US" w:eastAsia="zh-CN"/>
        </w:rPr>
        <w:t>9</w:t>
      </w:r>
    </w:p>
    <w:p>
      <w:pPr>
        <w:rPr>
          <w:rFonts w:hint="default"/>
          <w:sz w:val="24"/>
          <w:szCs w:val="24"/>
          <w:lang w:val="en-US" w:eastAsia="zh-CN"/>
        </w:rPr>
      </w:pPr>
      <w:r>
        <w:rPr>
          <w:rFonts w:hint="eastAsia"/>
          <w:sz w:val="24"/>
          <w:szCs w:val="24"/>
          <w:lang w:val="en-US" w:eastAsia="zh-CN"/>
        </w:rPr>
        <w:t xml:space="preserve">         六、成交通知                                                        9</w:t>
      </w:r>
    </w:p>
    <w:p>
      <w:pPr>
        <w:pStyle w:val="3"/>
        <w:ind w:firstLine="1080" w:firstLineChars="450"/>
        <w:rPr>
          <w:rFonts w:hint="default"/>
          <w:sz w:val="24"/>
          <w:szCs w:val="24"/>
          <w:lang w:val="en-US" w:eastAsia="zh-CN"/>
        </w:rPr>
      </w:pPr>
      <w:r>
        <w:rPr>
          <w:rFonts w:hint="eastAsia"/>
          <w:sz w:val="24"/>
          <w:szCs w:val="24"/>
          <w:lang w:val="en-US" w:eastAsia="zh-CN"/>
        </w:rPr>
        <w:t>七、关于质疑和投诉                                                  9</w:t>
      </w:r>
    </w:p>
    <w:p>
      <w:pPr>
        <w:ind w:firstLine="960" w:firstLineChars="400"/>
        <w:rPr>
          <w:rFonts w:hint="default"/>
          <w:lang w:val="en-US" w:eastAsia="zh-CN"/>
        </w:rPr>
      </w:pPr>
      <w:r>
        <w:rPr>
          <w:rFonts w:hint="eastAsia"/>
          <w:sz w:val="24"/>
          <w:szCs w:val="24"/>
          <w:lang w:val="en-US" w:eastAsia="zh-CN"/>
        </w:rPr>
        <w:t>八、签订合同                                                         9</w:t>
      </w:r>
    </w:p>
    <w:p>
      <w:pPr>
        <w:pStyle w:val="49"/>
        <w:tabs>
          <w:tab w:val="right" w:leader="dot" w:pos="9525"/>
        </w:tabs>
        <w:ind w:left="480"/>
        <w:rPr>
          <w:rFonts w:hint="default" w:eastAsia="宋体"/>
          <w:b/>
          <w:bCs/>
          <w:color w:val="auto"/>
          <w:sz w:val="24"/>
          <w:szCs w:val="24"/>
          <w:highlight w:val="none"/>
          <w:lang w:val="en-US" w:eastAsia="zh-CN"/>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_Toc16855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第三篇  询价项目</w:t>
      </w:r>
      <w:r>
        <w:rPr>
          <w:rFonts w:hint="eastAsia" w:ascii="Arial" w:hAnsi="Arial"/>
          <w:b/>
          <w:bCs/>
          <w:color w:val="auto"/>
          <w:sz w:val="24"/>
          <w:szCs w:val="24"/>
          <w:highlight w:val="none"/>
          <w:lang w:eastAsia="zh-CN"/>
        </w:rPr>
        <w:t>技术要求</w:t>
      </w:r>
      <w:r>
        <w:rPr>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11</w:t>
      </w:r>
    </w:p>
    <w:p>
      <w:pPr>
        <w:pStyle w:val="31"/>
        <w:tabs>
          <w:tab w:val="right" w:leader="dot" w:pos="9525"/>
        </w:tabs>
        <w:ind w:left="96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_Toc32064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一、项目一览表</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11</w:t>
      </w:r>
    </w:p>
    <w:p>
      <w:pPr>
        <w:ind w:firstLine="480" w:firstLineChars="200"/>
        <w:rPr>
          <w:rFonts w:hint="default"/>
          <w:lang w:val="en-US" w:eastAsia="zh-CN"/>
        </w:rPr>
      </w:pPr>
      <w:r>
        <w:rPr>
          <w:rFonts w:hint="eastAsia" w:ascii="宋体" w:hAnsi="宋体" w:cs="宋体"/>
          <w:color w:val="auto"/>
          <w:sz w:val="24"/>
          <w:szCs w:val="24"/>
          <w:highlight w:val="none"/>
          <w:lang w:val="en-US" w:eastAsia="zh-CN"/>
        </w:rPr>
        <w:t>第四篇  商务要求                                                         19</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_Toc32064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一、交货时间、地点及验收方式</w:t>
      </w:r>
      <w:r>
        <w:rPr>
          <w:color w:val="auto"/>
          <w:sz w:val="24"/>
          <w:szCs w:val="24"/>
          <w:highlight w:val="none"/>
        </w:rPr>
        <w:tab/>
      </w:r>
      <w:r>
        <w:rPr>
          <w:rFonts w:hint="eastAsia"/>
          <w:color w:val="auto"/>
          <w:sz w:val="24"/>
          <w:szCs w:val="24"/>
          <w:highlight w:val="none"/>
          <w:lang w:val="en-US" w:eastAsia="zh-CN"/>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_Toc2906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二、质量保证及售后服务</w:t>
      </w:r>
      <w:r>
        <w:rPr>
          <w:color w:val="auto"/>
          <w:sz w:val="24"/>
          <w:szCs w:val="24"/>
          <w:highlight w:val="none"/>
        </w:rPr>
        <w:tab/>
      </w:r>
      <w:r>
        <w:rPr>
          <w:rFonts w:hint="eastAsia"/>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_Toc22713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三、结算及付款方式</w:t>
      </w:r>
      <w:r>
        <w:rPr>
          <w:color w:val="auto"/>
          <w:sz w:val="24"/>
          <w:szCs w:val="24"/>
          <w:highlight w:val="none"/>
        </w:rPr>
        <w:tab/>
      </w:r>
      <w:r>
        <w:rPr>
          <w:rFonts w:hint="eastAsia"/>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_Toc15501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四</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违约条款</w:t>
      </w:r>
      <w:r>
        <w:rPr>
          <w:color w:val="auto"/>
          <w:sz w:val="24"/>
          <w:szCs w:val="24"/>
          <w:highlight w:val="none"/>
        </w:rPr>
        <w:tab/>
      </w:r>
      <w:r>
        <w:rPr>
          <w:rFonts w:hint="eastAsia"/>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pPr>
        <w:pStyle w:val="31"/>
        <w:tabs>
          <w:tab w:val="right" w:leader="dot" w:pos="9525"/>
        </w:tabs>
        <w:ind w:left="960"/>
        <w:rPr>
          <w:rFonts w:hint="eastAsia"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_Toc22165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五</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知识产权</w:t>
      </w:r>
      <w:r>
        <w:rPr>
          <w:color w:val="auto"/>
          <w:sz w:val="24"/>
          <w:szCs w:val="24"/>
          <w:highlight w:val="none"/>
        </w:rPr>
        <w:tab/>
      </w:r>
      <w:r>
        <w:rPr>
          <w:rFonts w:hint="eastAsia"/>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pPr>
        <w:pStyle w:val="49"/>
        <w:tabs>
          <w:tab w:val="right" w:leader="dot" w:pos="9525"/>
        </w:tabs>
        <w:ind w:left="480" w:firstLine="480" w:firstLineChars="200"/>
        <w:rPr>
          <w:rFonts w:hint="eastAsia" w:ascii="宋体" w:hAnsi="宋体" w:eastAsia="宋体" w:cs="宋体"/>
          <w:b/>
          <w:bCs/>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_Toc9443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lang w:eastAsia="zh-CN"/>
        </w:rPr>
        <w:t>六</w:t>
      </w:r>
      <w:r>
        <w:rPr>
          <w:rFonts w:hint="eastAsia" w:ascii="宋体" w:hAnsi="宋体" w:cs="宋体"/>
          <w:color w:val="auto"/>
          <w:sz w:val="24"/>
          <w:szCs w:val="24"/>
          <w:highlight w:val="none"/>
        </w:rPr>
        <w:t>、其他要求</w:t>
      </w:r>
      <w:r>
        <w:rPr>
          <w:color w:val="auto"/>
          <w:sz w:val="24"/>
          <w:szCs w:val="24"/>
          <w:highlight w:val="none"/>
        </w:rPr>
        <w:tab/>
      </w:r>
      <w:r>
        <w:rPr>
          <w:rFonts w:hint="eastAsia"/>
          <w:color w:val="auto"/>
          <w:sz w:val="24"/>
          <w:szCs w:val="24"/>
          <w:highlight w:val="none"/>
          <w:lang w:val="en-US" w:eastAsia="zh-CN"/>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pPr>
        <w:pStyle w:val="49"/>
        <w:tabs>
          <w:tab w:val="right" w:leader="dot" w:pos="9525"/>
        </w:tabs>
        <w:rPr>
          <w:rFonts w:hint="default" w:eastAsia="宋体"/>
          <w:b/>
          <w:bCs/>
          <w:color w:val="auto"/>
          <w:sz w:val="24"/>
          <w:szCs w:val="24"/>
          <w:highlight w:val="none"/>
          <w:lang w:val="en-US" w:eastAsia="zh-CN"/>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_Toc12976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w:t>
      </w:r>
      <w:r>
        <w:rPr>
          <w:rFonts w:hint="eastAsia" w:ascii="Arial" w:hAnsi="Arial"/>
          <w:b/>
          <w:bCs/>
          <w:color w:val="auto"/>
          <w:sz w:val="24"/>
          <w:szCs w:val="24"/>
          <w:highlight w:val="none"/>
          <w:lang w:eastAsia="zh-CN"/>
        </w:rPr>
        <w:t>五</w:t>
      </w:r>
      <w:r>
        <w:rPr>
          <w:rFonts w:hint="eastAsia" w:ascii="Arial" w:hAnsi="Arial"/>
          <w:b/>
          <w:bCs/>
          <w:color w:val="auto"/>
          <w:sz w:val="24"/>
          <w:szCs w:val="24"/>
          <w:highlight w:val="none"/>
        </w:rPr>
        <w:t>篇  合同草案条款</w:t>
      </w:r>
      <w:r>
        <w:rPr>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22</w:t>
      </w:r>
    </w:p>
    <w:p>
      <w:pPr>
        <w:pStyle w:val="49"/>
        <w:tabs>
          <w:tab w:val="right" w:leader="dot" w:pos="9525"/>
        </w:tabs>
        <w:ind w:left="480"/>
        <w:rPr>
          <w:rFonts w:hint="default" w:eastAsia="宋体"/>
          <w:b/>
          <w:bCs/>
          <w:color w:val="auto"/>
          <w:sz w:val="24"/>
          <w:szCs w:val="24"/>
          <w:highlight w:val="none"/>
          <w:lang w:val="en-US" w:eastAsia="zh-CN"/>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_Toc6 </w:instrText>
      </w:r>
      <w:r>
        <w:rPr>
          <w:rFonts w:hint="eastAsia" w:ascii="宋体" w:hAnsi="宋体" w:cs="宋体"/>
          <w:b/>
          <w:bCs/>
          <w:color w:val="auto"/>
          <w:sz w:val="24"/>
          <w:szCs w:val="24"/>
          <w:highlight w:val="none"/>
        </w:rPr>
        <w:fldChar w:fldCharType="separate"/>
      </w:r>
      <w:r>
        <w:rPr>
          <w:rFonts w:hint="eastAsia" w:ascii="Arial" w:hAnsi="Arial"/>
          <w:b/>
          <w:bCs/>
          <w:color w:val="auto"/>
          <w:sz w:val="24"/>
          <w:szCs w:val="24"/>
          <w:highlight w:val="none"/>
        </w:rPr>
        <w:t>第</w:t>
      </w:r>
      <w:r>
        <w:rPr>
          <w:rFonts w:hint="eastAsia" w:ascii="Arial" w:hAnsi="Arial"/>
          <w:b/>
          <w:bCs/>
          <w:color w:val="auto"/>
          <w:sz w:val="24"/>
          <w:szCs w:val="24"/>
          <w:highlight w:val="none"/>
          <w:lang w:eastAsia="zh-CN"/>
        </w:rPr>
        <w:t>六</w:t>
      </w:r>
      <w:r>
        <w:rPr>
          <w:rFonts w:hint="eastAsia" w:ascii="Arial" w:hAnsi="Arial"/>
          <w:b/>
          <w:bCs/>
          <w:color w:val="auto"/>
          <w:sz w:val="24"/>
          <w:szCs w:val="24"/>
          <w:highlight w:val="none"/>
        </w:rPr>
        <w:t>篇  响应文件格式要求</w:t>
      </w:r>
      <w:r>
        <w:rPr>
          <w:b/>
          <w:bCs/>
          <w:color w:val="auto"/>
          <w:sz w:val="24"/>
          <w:szCs w:val="24"/>
          <w:highlight w:val="none"/>
        </w:rPr>
        <w:tab/>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lang w:val="en-US" w:eastAsia="zh-CN"/>
        </w:rPr>
        <w:t>24</w:t>
      </w:r>
    </w:p>
    <w:p>
      <w:pPr>
        <w:pStyle w:val="31"/>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_Toc22564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一、经济部分</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25</w:t>
      </w:r>
    </w:p>
    <w:p>
      <w:pPr>
        <w:pStyle w:val="31"/>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_Toc13278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二、技术（质量）部分</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26</w:t>
      </w:r>
    </w:p>
    <w:p>
      <w:pPr>
        <w:pStyle w:val="31"/>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_Toc18209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商务</w:t>
      </w:r>
      <w:r>
        <w:rPr>
          <w:rFonts w:hint="eastAsia" w:ascii="宋体" w:hAnsi="宋体" w:cs="宋体"/>
          <w:color w:val="auto"/>
          <w:sz w:val="24"/>
          <w:szCs w:val="24"/>
          <w:highlight w:val="none"/>
        </w:rPr>
        <w:t>部分</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28</w:t>
      </w:r>
    </w:p>
    <w:p>
      <w:pPr>
        <w:pStyle w:val="31"/>
        <w:tabs>
          <w:tab w:val="right" w:leader="dot" w:pos="9525"/>
        </w:tabs>
        <w:ind w:left="960"/>
        <w:rPr>
          <w:rFonts w:hint="default" w:eastAsia="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_Toc25076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四、资格条件及其他</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31</w:t>
      </w:r>
    </w:p>
    <w:p>
      <w:pPr>
        <w:pStyle w:val="31"/>
        <w:tabs>
          <w:tab w:val="right" w:leader="dot" w:pos="9525"/>
        </w:tabs>
        <w:ind w:left="96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\l _Toc31702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五、其他资料</w:t>
      </w:r>
      <w:r>
        <w:rPr>
          <w:color w:val="auto"/>
          <w:sz w:val="24"/>
          <w:szCs w:val="24"/>
          <w:highlight w:val="none"/>
        </w:rPr>
        <w:tab/>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36</w:t>
      </w:r>
    </w:p>
    <w:p>
      <w:pPr>
        <w:pStyle w:val="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第一篇  采购邀请书</w:t>
      </w:r>
      <w:bookmarkEnd w:id="0"/>
      <w:bookmarkEnd w:id="1"/>
      <w:bookmarkEnd w:id="2"/>
      <w:bookmarkEnd w:id="3"/>
    </w:p>
    <w:p>
      <w:pPr>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现对</w:t>
      </w:r>
      <w:r>
        <w:rPr>
          <w:rFonts w:hint="eastAsia" w:ascii="仿宋" w:hAnsi="仿宋" w:eastAsia="仿宋" w:cs="仿宋"/>
          <w:color w:val="auto"/>
          <w:sz w:val="28"/>
          <w:szCs w:val="28"/>
          <w:highlight w:val="none"/>
          <w:lang w:eastAsia="zh-CN"/>
        </w:rPr>
        <w:t>重庆市</w:t>
      </w:r>
      <w:r>
        <w:rPr>
          <w:rFonts w:hint="eastAsia" w:ascii="仿宋" w:hAnsi="仿宋" w:eastAsia="仿宋" w:cs="仿宋"/>
          <w:color w:val="auto"/>
          <w:sz w:val="28"/>
          <w:szCs w:val="28"/>
          <w:highlight w:val="none"/>
          <w:lang w:val="en-US" w:eastAsia="zh-CN"/>
        </w:rPr>
        <w:t>荣昌区人民医院常用维修材料等物资采购项目(第二次）</w:t>
      </w:r>
      <w:r>
        <w:rPr>
          <w:rFonts w:hint="eastAsia" w:ascii="仿宋" w:hAnsi="仿宋" w:eastAsia="仿宋" w:cs="仿宋"/>
          <w:color w:val="auto"/>
          <w:sz w:val="28"/>
          <w:szCs w:val="28"/>
          <w:highlight w:val="none"/>
        </w:rPr>
        <w:t>进行</w:t>
      </w:r>
      <w:r>
        <w:rPr>
          <w:rFonts w:hint="eastAsia" w:ascii="仿宋" w:hAnsi="仿宋" w:eastAsia="仿宋" w:cs="仿宋"/>
          <w:color w:val="auto"/>
          <w:sz w:val="28"/>
          <w:szCs w:val="28"/>
          <w:highlight w:val="none"/>
          <w:lang w:val="en-US" w:eastAsia="zh-CN"/>
        </w:rPr>
        <w:t>询价采购</w:t>
      </w:r>
      <w:r>
        <w:rPr>
          <w:rFonts w:hint="eastAsia" w:ascii="仿宋" w:hAnsi="仿宋" w:eastAsia="仿宋" w:cs="仿宋"/>
          <w:color w:val="auto"/>
          <w:sz w:val="28"/>
          <w:szCs w:val="28"/>
          <w:highlight w:val="none"/>
        </w:rPr>
        <w:t>。欢迎有资格的供应商前来参与。</w:t>
      </w:r>
    </w:p>
    <w:p>
      <w:pPr>
        <w:pStyle w:val="6"/>
        <w:pageBreakBefore w:val="0"/>
        <w:widowControl w:val="0"/>
        <w:numPr>
          <w:ilvl w:val="0"/>
          <w:numId w:val="13"/>
        </w:numPr>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auto"/>
          <w:sz w:val="28"/>
          <w:szCs w:val="28"/>
          <w:highlight w:val="none"/>
        </w:rPr>
      </w:pPr>
      <w:bookmarkStart w:id="4" w:name="_Toc2828"/>
      <w:bookmarkStart w:id="5" w:name="_Toc313893526"/>
      <w:bookmarkStart w:id="6" w:name="_Toc12613"/>
      <w:bookmarkStart w:id="7" w:name="_Toc317775175"/>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rPr>
        <w:t>内容</w:t>
      </w:r>
      <w:bookmarkEnd w:id="4"/>
      <w:bookmarkEnd w:id="5"/>
      <w:bookmarkEnd w:id="6"/>
      <w:bookmarkEnd w:id="7"/>
    </w:p>
    <w:tbl>
      <w:tblPr>
        <w:tblStyle w:val="60"/>
        <w:tblW w:w="9433" w:type="dxa"/>
        <w:tblInd w:w="0" w:type="dxa"/>
        <w:tblLayout w:type="fixed"/>
        <w:tblCellMar>
          <w:top w:w="15" w:type="dxa"/>
          <w:left w:w="15" w:type="dxa"/>
          <w:bottom w:w="15" w:type="dxa"/>
          <w:right w:w="15" w:type="dxa"/>
        </w:tblCellMar>
      </w:tblPr>
      <w:tblGrid>
        <w:gridCol w:w="3197"/>
        <w:gridCol w:w="1387"/>
        <w:gridCol w:w="1132"/>
        <w:gridCol w:w="1085"/>
        <w:gridCol w:w="2632"/>
      </w:tblGrid>
      <w:tr>
        <w:tblPrEx>
          <w:tblCellMar>
            <w:top w:w="15" w:type="dxa"/>
            <w:left w:w="15" w:type="dxa"/>
            <w:bottom w:w="15" w:type="dxa"/>
            <w:right w:w="15" w:type="dxa"/>
          </w:tblCellMar>
        </w:tblPrEx>
        <w:trPr>
          <w:trHeight w:val="344" w:hRule="atLeast"/>
        </w:trPr>
        <w:tc>
          <w:tcPr>
            <w:tcW w:w="319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p>
        </w:tc>
        <w:tc>
          <w:tcPr>
            <w:tcW w:w="138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default"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最高限价</w:t>
            </w:r>
            <w:r>
              <w:rPr>
                <w:rFonts w:hint="eastAsia" w:ascii="仿宋" w:hAnsi="仿宋" w:eastAsia="仿宋" w:cs="仿宋"/>
                <w:b/>
                <w:color w:val="auto"/>
                <w:kern w:val="0"/>
                <w:sz w:val="28"/>
                <w:szCs w:val="28"/>
                <w:highlight w:val="none"/>
              </w:rPr>
              <w:t>（元）</w:t>
            </w:r>
          </w:p>
        </w:tc>
        <w:tc>
          <w:tcPr>
            <w:tcW w:w="113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eastAsia="zh-CN"/>
              </w:rPr>
              <w:t>投标保证金</w:t>
            </w:r>
          </w:p>
          <w:p>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b/>
                <w:color w:val="auto"/>
                <w:kern w:val="0"/>
                <w:sz w:val="28"/>
                <w:szCs w:val="28"/>
                <w:highlight w:val="none"/>
                <w:lang w:eastAsia="zh-CN"/>
              </w:rPr>
            </w:pPr>
            <w:r>
              <w:rPr>
                <w:rFonts w:hint="eastAsia" w:ascii="仿宋" w:hAnsi="仿宋" w:eastAsia="仿宋" w:cs="仿宋"/>
                <w:b/>
                <w:color w:val="auto"/>
                <w:kern w:val="0"/>
                <w:sz w:val="28"/>
                <w:szCs w:val="28"/>
                <w:highlight w:val="none"/>
                <w:lang w:eastAsia="zh-CN"/>
              </w:rPr>
              <w:t>（元）</w:t>
            </w:r>
          </w:p>
        </w:tc>
        <w:tc>
          <w:tcPr>
            <w:tcW w:w="1085"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仿宋" w:hAnsi="仿宋" w:eastAsia="仿宋" w:cs="仿宋"/>
                <w:b/>
                <w:color w:val="auto"/>
                <w:kern w:val="0"/>
                <w:sz w:val="28"/>
                <w:szCs w:val="28"/>
                <w:highlight w:val="none"/>
              </w:rPr>
            </w:pPr>
            <w:r>
              <w:rPr>
                <w:rFonts w:hint="eastAsia" w:ascii="仿宋" w:hAnsi="仿宋" w:eastAsia="仿宋" w:cs="仿宋"/>
                <w:b/>
                <w:bCs/>
                <w:color w:val="auto"/>
                <w:kern w:val="0"/>
                <w:sz w:val="28"/>
                <w:szCs w:val="28"/>
                <w:highlight w:val="none"/>
              </w:rPr>
              <w:t>成</w:t>
            </w:r>
            <w:r>
              <w:rPr>
                <w:rFonts w:hint="eastAsia" w:ascii="仿宋" w:hAnsi="仿宋" w:eastAsia="仿宋" w:cs="仿宋"/>
                <w:b/>
                <w:color w:val="auto"/>
                <w:kern w:val="0"/>
                <w:sz w:val="28"/>
                <w:szCs w:val="28"/>
                <w:highlight w:val="none"/>
              </w:rPr>
              <w:t>交供应商数量</w:t>
            </w:r>
          </w:p>
        </w:tc>
        <w:tc>
          <w:tcPr>
            <w:tcW w:w="263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备注</w:t>
            </w:r>
          </w:p>
        </w:tc>
      </w:tr>
      <w:tr>
        <w:tblPrEx>
          <w:tblCellMar>
            <w:top w:w="15" w:type="dxa"/>
            <w:left w:w="15" w:type="dxa"/>
            <w:bottom w:w="15" w:type="dxa"/>
            <w:right w:w="15" w:type="dxa"/>
          </w:tblCellMar>
        </w:tblPrEx>
        <w:trPr>
          <w:trHeight w:val="769" w:hRule="atLeast"/>
        </w:trPr>
        <w:tc>
          <w:tcPr>
            <w:tcW w:w="3197"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荣昌区人民医院常用维修材料等物资采购（第二次）</w:t>
            </w:r>
          </w:p>
        </w:tc>
        <w:tc>
          <w:tcPr>
            <w:tcW w:w="1387"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133217.07</w:t>
            </w:r>
          </w:p>
        </w:tc>
        <w:tc>
          <w:tcPr>
            <w:tcW w:w="113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outlineLvl w:val="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无</w:t>
            </w:r>
          </w:p>
        </w:tc>
        <w:tc>
          <w:tcPr>
            <w:tcW w:w="1085"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1家</w:t>
            </w:r>
          </w:p>
        </w:tc>
        <w:tc>
          <w:tcPr>
            <w:tcW w:w="263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jc w:val="left"/>
              <w:textAlignment w:val="auto"/>
              <w:outlineLvl w:val="0"/>
              <w:rPr>
                <w:rFonts w:hint="eastAsia" w:ascii="仿宋" w:hAnsi="仿宋" w:eastAsia="仿宋" w:cs="仿宋"/>
                <w:b/>
                <w:color w:val="auto"/>
                <w:sz w:val="28"/>
                <w:szCs w:val="28"/>
                <w:highlight w:val="none"/>
              </w:rPr>
            </w:pPr>
          </w:p>
        </w:tc>
      </w:tr>
    </w:tbl>
    <w:p>
      <w:pPr>
        <w:pStyle w:val="6"/>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rPr>
      </w:pPr>
      <w:bookmarkStart w:id="8" w:name="_Toc13432"/>
      <w:bookmarkStart w:id="9" w:name="_Toc15923"/>
      <w:bookmarkStart w:id="10" w:name="_Toc373860293"/>
      <w:bookmarkStart w:id="11" w:name="_Toc317775178"/>
      <w:r>
        <w:rPr>
          <w:rFonts w:hint="eastAsia" w:ascii="仿宋" w:hAnsi="仿宋" w:eastAsia="仿宋" w:cs="仿宋"/>
          <w:color w:val="auto"/>
          <w:sz w:val="28"/>
          <w:szCs w:val="28"/>
          <w:highlight w:val="none"/>
        </w:rPr>
        <w:t>二、资金来源</w:t>
      </w:r>
      <w:bookmarkEnd w:id="8"/>
      <w:bookmarkEnd w:id="9"/>
    </w:p>
    <w:p>
      <w:pPr>
        <w:pStyle w:val="6"/>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lang w:eastAsia="zh-CN"/>
        </w:rPr>
      </w:pPr>
      <w:bookmarkStart w:id="12" w:name="_Toc22764"/>
      <w:bookmarkStart w:id="13" w:name="_Toc19512"/>
      <w:r>
        <w:rPr>
          <w:rFonts w:hint="eastAsia" w:ascii="仿宋" w:hAnsi="仿宋" w:eastAsia="仿宋" w:cs="仿宋"/>
          <w:color w:val="auto"/>
          <w:sz w:val="28"/>
          <w:szCs w:val="28"/>
          <w:highlight w:val="none"/>
          <w:lang w:eastAsia="zh-CN"/>
        </w:rPr>
        <w:t>自筹资金。</w:t>
      </w:r>
    </w:p>
    <w:p>
      <w:pPr>
        <w:pStyle w:val="6"/>
        <w:pageBreakBefore w:val="0"/>
        <w:widowControl w:val="0"/>
        <w:numPr>
          <w:ilvl w:val="0"/>
          <w:numId w:val="0"/>
        </w:numPr>
        <w:kinsoku/>
        <w:wordWrap/>
        <w:overflowPunct/>
        <w:topLinePunct w:val="0"/>
        <w:autoSpaceDE/>
        <w:autoSpaceDN/>
        <w:bidi w:val="0"/>
        <w:adjustRightInd/>
        <w:spacing w:before="0" w:after="0" w:line="400" w:lineRule="exact"/>
        <w:ind w:lef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rPr>
        <w:t>供应商资格条件</w:t>
      </w:r>
      <w:bookmarkEnd w:id="10"/>
      <w:bookmarkEnd w:id="11"/>
      <w:bookmarkEnd w:id="12"/>
      <w:bookmarkEnd w:id="13"/>
      <w:bookmarkStart w:id="14" w:name="_Toc9891"/>
      <w:bookmarkStart w:id="15" w:name="_Toc373860294"/>
    </w:p>
    <w:p>
      <w:pPr>
        <w:spacing w:line="416" w:lineRule="exact"/>
        <w:rPr>
          <w:rFonts w:hint="eastAsia" w:ascii="宋体" w:hAnsi="宋体" w:cs="宋体"/>
          <w:color w:val="auto"/>
          <w:szCs w:val="24"/>
          <w:highlight w:val="none"/>
        </w:rPr>
      </w:pPr>
      <w:r>
        <w:rPr>
          <w:rFonts w:hint="eastAsia" w:ascii="宋体" w:hAnsi="宋体" w:cs="宋体"/>
          <w:color w:val="auto"/>
          <w:szCs w:val="24"/>
          <w:highlight w:val="none"/>
        </w:rPr>
        <w:t>（一）满足《中华人民共和国政府采购法》第二十二条规定；</w:t>
      </w:r>
    </w:p>
    <w:p>
      <w:pPr>
        <w:spacing w:line="416" w:lineRule="exact"/>
        <w:rPr>
          <w:rFonts w:hint="eastAsia" w:ascii="宋体" w:hAnsi="宋体" w:cs="宋体"/>
          <w:color w:val="auto"/>
          <w:szCs w:val="24"/>
          <w:highlight w:val="none"/>
        </w:rPr>
      </w:pPr>
      <w:r>
        <w:rPr>
          <w:rFonts w:hint="eastAsia" w:ascii="宋体" w:hAnsi="宋体" w:cs="宋体"/>
          <w:color w:val="auto"/>
          <w:szCs w:val="24"/>
          <w:highlight w:val="none"/>
        </w:rPr>
        <w:t>（二）落实政府采购政策需满足的资格要求：无；</w:t>
      </w:r>
    </w:p>
    <w:p>
      <w:pPr>
        <w:spacing w:line="416" w:lineRule="exact"/>
        <w:rPr>
          <w:rFonts w:hint="eastAsia"/>
        </w:rPr>
      </w:pPr>
      <w:r>
        <w:rPr>
          <w:rFonts w:hint="eastAsia" w:ascii="宋体" w:hAnsi="宋体" w:cs="宋体"/>
          <w:color w:val="auto"/>
          <w:szCs w:val="24"/>
          <w:highlight w:val="none"/>
        </w:rPr>
        <w:t>（三）本项目的特定资格要求：无。</w:t>
      </w:r>
    </w:p>
    <w:p>
      <w:pPr>
        <w:pStyle w:val="6"/>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四、有关说明</w:t>
      </w:r>
      <w:bookmarkEnd w:id="14"/>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（一）凡有意参加询价的供应商，请于公告发布之日起至提交首次响应文件截</w:t>
      </w:r>
      <w:r>
        <w:rPr>
          <w:rFonts w:hint="eastAsia" w:ascii="仿宋" w:hAnsi="仿宋" w:eastAsia="仿宋" w:cs="仿宋"/>
          <w:color w:val="auto"/>
          <w:spacing w:val="1"/>
          <w:w w:val="94"/>
          <w:kern w:val="0"/>
          <w:sz w:val="28"/>
          <w:szCs w:val="28"/>
          <w:highlight w:val="none"/>
          <w:fitText w:val="5040" w:id="1583681327"/>
          <w:lang w:val="en-US" w:eastAsia="zh-CN"/>
        </w:rPr>
        <w:t>止时间之前，在重庆市荣昌区人民医院官</w:t>
      </w:r>
      <w:r>
        <w:rPr>
          <w:rFonts w:hint="eastAsia" w:ascii="仿宋" w:hAnsi="仿宋" w:eastAsia="仿宋" w:cs="仿宋"/>
          <w:color w:val="auto"/>
          <w:spacing w:val="8"/>
          <w:w w:val="94"/>
          <w:kern w:val="0"/>
          <w:sz w:val="28"/>
          <w:szCs w:val="28"/>
          <w:highlight w:val="none"/>
          <w:fitText w:val="5040" w:id="1583681327"/>
          <w:lang w:val="en-US" w:eastAsia="zh-CN"/>
        </w:rPr>
        <w:t>网</w:t>
      </w:r>
      <w:r>
        <w:rPr>
          <w:rFonts w:hint="eastAsia" w:ascii="仿宋" w:hAnsi="仿宋" w:eastAsia="仿宋" w:cs="仿宋"/>
          <w:color w:val="auto"/>
          <w:sz w:val="28"/>
          <w:szCs w:val="28"/>
          <w:highlight w:val="none"/>
          <w:lang w:val="en-US" w:eastAsia="zh-CN"/>
        </w:rPr>
        <w:t>http://www.cqrc120.com/hos_tender/上下载本项目询价文件以及图纸、补遗等询价前公布的所有项目资料，无论供应商下载或领取与否，均视为已知晓所有询价实质性要求内容上下载本项目招标文件以及图纸、澄清等前公布的所有项目资料，无论投标人下载与否，均视为已知晓所有实质性要求内容。</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（二）询价公告期限：自采购公告发布之日起三个工作日。</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（三）获取询价通知书期限：</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1、询价通知书提供期限：2025年3月 27 日至2025年3月 31 日。</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2、报名方式：询价当天现场报名。</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3、询价通知书售价：人民币0元/包。</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（四）供应商须满足以下要件，其响应文件才被接受：</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1、按时递交了响应文件；</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（五）递交响应文件地点：重庆市荣昌区人民医院行政楼二楼采购办3。</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（六）响应文件递交开始时间：2025年4月 1 日北京时间14时30分。 </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（七）响应文件递交截止时间：2025年4月 1 日北京时间15时00分。</w:t>
      </w:r>
    </w:p>
    <w:p>
      <w:pPr>
        <w:numPr>
          <w:ilvl w:val="0"/>
          <w:numId w:val="0"/>
        </w:num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（八）询价开始时间：2025年4月 1</w:t>
      </w:r>
      <w:bookmarkStart w:id="133" w:name="_GoBack"/>
      <w:bookmarkEnd w:id="133"/>
      <w:r>
        <w:rPr>
          <w:rFonts w:hint="eastAsia" w:ascii="仿宋" w:hAnsi="仿宋" w:eastAsia="仿宋" w:cs="仿宋"/>
          <w:color w:val="auto"/>
          <w:sz w:val="28"/>
          <w:szCs w:val="28"/>
          <w:highlight w:val="none"/>
          <w:lang w:val="en-US" w:eastAsia="zh-CN"/>
        </w:rPr>
        <w:t xml:space="preserve"> 日北京时间15时00分。</w:t>
      </w:r>
    </w:p>
    <w:p>
      <w:pPr>
        <w:pStyle w:val="3"/>
        <w:rPr>
          <w:rFonts w:hint="eastAsia"/>
          <w:lang w:val="en-US" w:eastAsia="zh-CN"/>
        </w:rPr>
      </w:pPr>
    </w:p>
    <w:p>
      <w:pPr>
        <w:pStyle w:val="6"/>
        <w:spacing w:before="0" w:after="0" w:line="360" w:lineRule="auto"/>
        <w:rPr>
          <w:rFonts w:hint="eastAsia" w:ascii="仿宋" w:hAnsi="仿宋" w:eastAsia="仿宋" w:cs="仿宋"/>
          <w:color w:val="auto"/>
          <w:kern w:val="2"/>
          <w:sz w:val="28"/>
          <w:szCs w:val="28"/>
          <w:highlight w:val="none"/>
          <w:lang w:val="en-US" w:eastAsia="zh-CN" w:bidi="ar-SA"/>
        </w:rPr>
      </w:pPr>
      <w:bookmarkStart w:id="16" w:name="_Toc14240"/>
      <w:bookmarkStart w:id="17" w:name="_Toc487204775"/>
      <w:bookmarkStart w:id="18" w:name="_Toc22356"/>
      <w:r>
        <w:rPr>
          <w:rFonts w:hint="eastAsia" w:ascii="仿宋" w:hAnsi="仿宋" w:eastAsia="仿宋" w:cs="仿宋"/>
          <w:color w:val="auto"/>
          <w:kern w:val="2"/>
          <w:sz w:val="28"/>
          <w:szCs w:val="28"/>
          <w:highlight w:val="none"/>
          <w:lang w:val="en-US" w:eastAsia="zh-CN" w:bidi="ar-SA"/>
        </w:rPr>
        <w:t>五、保证金</w:t>
      </w:r>
      <w:bookmarkEnd w:id="16"/>
      <w:bookmarkEnd w:id="17"/>
      <w:bookmarkEnd w:id="18"/>
    </w:p>
    <w:p>
      <w:pPr>
        <w:numPr>
          <w:ilvl w:val="0"/>
          <w:numId w:val="0"/>
        </w:numPr>
        <w:rPr>
          <w:rFonts w:hint="eastAsia" w:eastAsia="宋体"/>
          <w:lang w:eastAsia="zh-CN"/>
        </w:rPr>
      </w:pPr>
      <w:r>
        <w:rPr>
          <w:rFonts w:hint="eastAsia"/>
          <w:lang w:eastAsia="zh-CN"/>
        </w:rPr>
        <w:t>无</w:t>
      </w:r>
    </w:p>
    <w:bookmarkEnd w:id="15"/>
    <w:p>
      <w:pPr>
        <w:pStyle w:val="6"/>
        <w:pageBreakBefore w:val="0"/>
        <w:widowControl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8"/>
          <w:szCs w:val="28"/>
          <w:highlight w:val="none"/>
        </w:rPr>
      </w:pPr>
      <w:bookmarkStart w:id="19" w:name="_Toc27117"/>
      <w:bookmarkStart w:id="20" w:name="_Toc26067"/>
      <w:bookmarkStart w:id="21" w:name="_Toc28513"/>
      <w:r>
        <w:rPr>
          <w:rFonts w:hint="eastAsia" w:ascii="仿宋" w:hAnsi="仿宋" w:eastAsia="仿宋" w:cs="仿宋"/>
          <w:color w:val="auto"/>
          <w:sz w:val="28"/>
          <w:szCs w:val="28"/>
          <w:highlight w:val="none"/>
        </w:rPr>
        <w:t>六、其它有关规定</w:t>
      </w:r>
      <w:bookmarkEnd w:id="19"/>
      <w:bookmarkEnd w:id="20"/>
      <w:bookmarkEnd w:id="21"/>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（一）单位负责人为同一人或者存在直接控股、管理关系的不同供应商，不得参加同一合同项（分包）下的采购活动，否则均为无效响应。</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（三）本项目的补遗文件（如果有）一律在</w:t>
      </w:r>
      <w:r>
        <w:rPr>
          <w:rFonts w:hint="eastAsia" w:ascii="仿宋" w:hAnsi="仿宋" w:eastAsia="仿宋" w:cs="仿宋"/>
          <w:color w:val="auto"/>
          <w:sz w:val="28"/>
          <w:szCs w:val="28"/>
          <w:highlight w:val="none"/>
          <w:lang w:eastAsia="zh-CN"/>
        </w:rPr>
        <w:t>重庆市荣昌区人民医院官网</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http://www.cqrc120.com/hos_tender/</w:t>
      </w:r>
      <w:r>
        <w:rPr>
          <w:rFonts w:hint="eastAsia" w:ascii="仿宋" w:hAnsi="仿宋" w:eastAsia="仿宋" w:cs="仿宋"/>
          <w:color w:val="auto"/>
          <w:sz w:val="28"/>
          <w:szCs w:val="28"/>
          <w:highlight w:val="none"/>
        </w:rPr>
        <w:t>）上发布，请各投标人注意下载；无论投标人下载与否，均视同投标人已知晓本项目补遗文件的内容。</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（四）超过响应文件截止时间递交的响应文件，恕不接收。</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w:t>
      </w:r>
      <w:r>
        <w:rPr>
          <w:rFonts w:hint="eastAsia" w:ascii="仿宋" w:hAnsi="仿宋" w:eastAsia="仿宋" w:cs="仿宋"/>
          <w:color w:val="auto"/>
          <w:sz w:val="28"/>
          <w:szCs w:val="28"/>
          <w:highlight w:val="none"/>
          <w:lang w:val="en-US" w:eastAsia="zh-CN"/>
        </w:rPr>
        <w:t>开标</w:t>
      </w:r>
      <w:r>
        <w:rPr>
          <w:rFonts w:hint="eastAsia" w:ascii="仿宋" w:hAnsi="仿宋" w:eastAsia="仿宋" w:cs="仿宋"/>
          <w:color w:val="auto"/>
          <w:sz w:val="28"/>
          <w:szCs w:val="28"/>
          <w:highlight w:val="none"/>
        </w:rPr>
        <w:t>费用：无论结果如何，供应商参与本项目的所有费用均应由供应商自行承担。</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rPr>
        <w:t>（六）</w:t>
      </w: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lang w:eastAsia="zh-CN"/>
        </w:rPr>
        <w:t>允许</w:t>
      </w:r>
      <w:r>
        <w:rPr>
          <w:rFonts w:hint="eastAsia" w:ascii="仿宋" w:hAnsi="仿宋" w:eastAsia="仿宋" w:cs="仿宋"/>
          <w:color w:val="auto"/>
          <w:sz w:val="28"/>
          <w:szCs w:val="28"/>
          <w:highlight w:val="none"/>
        </w:rPr>
        <w:t>联合体参与</w:t>
      </w:r>
      <w:r>
        <w:rPr>
          <w:rFonts w:hint="eastAsia" w:ascii="仿宋" w:hAnsi="仿宋" w:eastAsia="仿宋" w:cs="仿宋"/>
          <w:color w:val="auto"/>
          <w:sz w:val="28"/>
          <w:szCs w:val="28"/>
          <w:highlight w:val="none"/>
          <w:lang w:eastAsia="zh-CN"/>
        </w:rPr>
        <w:t>。</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七</w:t>
      </w:r>
      <w:r>
        <w:rPr>
          <w:rFonts w:hint="eastAsia" w:ascii="仿宋" w:hAnsi="仿宋" w:eastAsia="仿宋" w:cs="仿宋"/>
          <w:color w:val="auto"/>
          <w:sz w:val="28"/>
          <w:szCs w:val="28"/>
          <w:highlight w:val="none"/>
        </w:rPr>
        <w:t>）供应商有下列情况之一的，将拒绝其参与政府采购活动：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pPr>
        <w:pStyle w:val="3"/>
        <w:rPr>
          <w:rFonts w:hint="eastAsia"/>
          <w:lang w:eastAsia="zh-CN"/>
        </w:rPr>
      </w:pPr>
    </w:p>
    <w:p>
      <w:pPr>
        <w:pageBreakBefore w:val="0"/>
        <w:widowControl w:val="0"/>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8"/>
          <w:szCs w:val="28"/>
          <w:highlight w:val="none"/>
        </w:rPr>
      </w:pPr>
      <w:bookmarkStart w:id="22" w:name="_Toc8763"/>
      <w:bookmarkStart w:id="23" w:name="_Toc31949"/>
      <w:bookmarkStart w:id="24" w:name="_Toc4573"/>
      <w:r>
        <w:rPr>
          <w:rFonts w:hint="eastAsia" w:ascii="仿宋" w:hAnsi="仿宋" w:eastAsia="仿宋" w:cs="仿宋"/>
          <w:color w:val="auto"/>
          <w:sz w:val="28"/>
          <w:szCs w:val="28"/>
          <w:highlight w:val="none"/>
        </w:rPr>
        <w:t>七、联系方式</w:t>
      </w:r>
      <w:bookmarkEnd w:id="22"/>
      <w:bookmarkEnd w:id="23"/>
      <w:bookmarkEnd w:id="24"/>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采购人：重庆市荣昌区人民医院     </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联系人：</w:t>
      </w:r>
      <w:r>
        <w:rPr>
          <w:rFonts w:hint="eastAsia" w:ascii="仿宋" w:hAnsi="仿宋" w:eastAsia="仿宋" w:cs="仿宋"/>
          <w:color w:val="auto"/>
          <w:sz w:val="28"/>
          <w:szCs w:val="28"/>
          <w:highlight w:val="none"/>
          <w:lang w:val="en-US" w:eastAsia="zh-CN"/>
        </w:rPr>
        <w:t xml:space="preserve">段老师（采购办）           </w:t>
      </w:r>
      <w:r>
        <w:rPr>
          <w:rFonts w:hint="eastAsia"/>
          <w:color w:val="auto"/>
          <w:sz w:val="24"/>
          <w:szCs w:val="24"/>
          <w:lang w:val="en-US" w:eastAsia="zh-CN"/>
        </w:rPr>
        <w:t>李老师（总务科</w:t>
      </w:r>
      <w:r>
        <w:rPr>
          <w:rFonts w:hint="eastAsia"/>
          <w:color w:val="FF0000"/>
          <w:sz w:val="24"/>
          <w:szCs w:val="24"/>
          <w:lang w:val="en-US" w:eastAsia="zh-CN"/>
        </w:rPr>
        <w:t>）</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联系电话：</w:t>
      </w:r>
      <w:r>
        <w:rPr>
          <w:rFonts w:hint="eastAsia" w:ascii="仿宋" w:hAnsi="仿宋" w:eastAsia="仿宋" w:cs="仿宋"/>
          <w:color w:val="auto"/>
          <w:sz w:val="28"/>
          <w:szCs w:val="28"/>
          <w:highlight w:val="none"/>
          <w:lang w:val="en-US" w:eastAsia="zh-CN"/>
        </w:rPr>
        <w:t>023-46264775              023-46331845</w:t>
      </w:r>
    </w:p>
    <w:p>
      <w:pPr>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 xml:space="preserve">地址：重庆市荣昌区昌元街道广场北路3号 </w:t>
      </w:r>
    </w:p>
    <w:p>
      <w:pPr>
        <w:snapToGrid w:val="0"/>
        <w:spacing w:line="4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rPr>
          <w:rFonts w:hint="eastAsia" w:ascii="仿宋" w:hAnsi="仿宋" w:eastAsia="仿宋" w:cs="仿宋"/>
          <w:color w:val="auto"/>
          <w:sz w:val="28"/>
          <w:szCs w:val="28"/>
          <w:highlight w:val="none"/>
        </w:rPr>
      </w:pPr>
    </w:p>
    <w:p>
      <w:pPr>
        <w:tabs>
          <w:tab w:val="left" w:pos="6300"/>
        </w:tabs>
        <w:snapToGrid w:val="0"/>
        <w:spacing w:line="500" w:lineRule="exact"/>
        <w:ind w:firstLine="570"/>
        <w:jc w:val="right"/>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br w:type="page"/>
      </w:r>
    </w:p>
    <w:p>
      <w:pPr>
        <w:pStyle w:val="5"/>
        <w:jc w:val="center"/>
        <w:rPr>
          <w:rFonts w:hint="eastAsia" w:ascii="宋体" w:hAnsi="宋体" w:eastAsia="宋体" w:cs="宋体"/>
          <w:bCs w:val="0"/>
          <w:color w:val="auto"/>
          <w:highlight w:val="none"/>
        </w:rPr>
      </w:pPr>
      <w:bookmarkStart w:id="25" w:name="_Toc6453"/>
      <w:bookmarkStart w:id="26" w:name="_Toc487204778"/>
      <w:bookmarkStart w:id="27" w:name="_Toc32496"/>
      <w:bookmarkStart w:id="28" w:name="_Toc128744991"/>
      <w:r>
        <w:rPr>
          <w:rStyle w:val="114"/>
          <w:rFonts w:hint="eastAsia" w:ascii="宋体" w:hAnsi="宋体" w:eastAsia="宋体" w:cs="宋体"/>
          <w:b/>
          <w:bCs/>
          <w:color w:val="auto"/>
          <w:highlight w:val="none"/>
        </w:rPr>
        <w:t>第二篇  供应商须知</w:t>
      </w:r>
      <w:bookmarkEnd w:id="25"/>
      <w:bookmarkEnd w:id="26"/>
      <w:bookmarkEnd w:id="27"/>
    </w:p>
    <w:p>
      <w:pPr>
        <w:pStyle w:val="6"/>
        <w:spacing w:before="0" w:after="0" w:line="360" w:lineRule="auto"/>
        <w:rPr>
          <w:rFonts w:hint="eastAsia" w:ascii="宋体" w:hAnsi="宋体" w:cs="宋体"/>
          <w:color w:val="auto"/>
          <w:sz w:val="24"/>
          <w:szCs w:val="24"/>
          <w:highlight w:val="none"/>
        </w:rPr>
      </w:pPr>
      <w:bookmarkStart w:id="29" w:name="_Toc487204779"/>
      <w:bookmarkStart w:id="30" w:name="_Toc342913389"/>
      <w:bookmarkStart w:id="31" w:name="_Toc426965630"/>
      <w:bookmarkStart w:id="32" w:name="_Toc20643"/>
      <w:bookmarkStart w:id="33" w:name="_Toc21801"/>
      <w:r>
        <w:rPr>
          <w:rFonts w:hint="eastAsia" w:ascii="宋体" w:hAnsi="宋体" w:cs="宋体"/>
          <w:color w:val="auto"/>
          <w:sz w:val="24"/>
          <w:szCs w:val="24"/>
          <w:highlight w:val="none"/>
        </w:rPr>
        <w:t>一、询价费用</w:t>
      </w:r>
      <w:bookmarkEnd w:id="29"/>
      <w:bookmarkEnd w:id="30"/>
      <w:bookmarkEnd w:id="31"/>
      <w:bookmarkEnd w:id="32"/>
      <w:bookmarkEnd w:id="33"/>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参与询价的供应商应承担其编制响应文件与递交响应文件所涉及的一切费用，不论询价结果如何，采购人在任何情况下无义务也无责任承担这些费用。</w:t>
      </w:r>
    </w:p>
    <w:p>
      <w:pPr>
        <w:pStyle w:val="6"/>
        <w:tabs>
          <w:tab w:val="left" w:pos="2640"/>
        </w:tabs>
        <w:spacing w:before="0" w:after="0" w:line="360" w:lineRule="auto"/>
        <w:rPr>
          <w:rFonts w:hint="eastAsia" w:ascii="宋体" w:hAnsi="宋体" w:cs="宋体"/>
          <w:color w:val="auto"/>
          <w:sz w:val="24"/>
          <w:szCs w:val="24"/>
          <w:highlight w:val="none"/>
        </w:rPr>
      </w:pPr>
      <w:bookmarkStart w:id="34" w:name="_Toc342913391"/>
      <w:bookmarkStart w:id="35" w:name="_Toc487204780"/>
      <w:bookmarkStart w:id="36" w:name="_Toc426965631"/>
      <w:bookmarkStart w:id="37" w:name="_Toc7850"/>
      <w:bookmarkStart w:id="38" w:name="_Toc19120"/>
      <w:r>
        <w:rPr>
          <w:rFonts w:hint="eastAsia" w:ascii="宋体" w:hAnsi="宋体" w:cs="宋体"/>
          <w:color w:val="auto"/>
          <w:sz w:val="24"/>
          <w:szCs w:val="24"/>
          <w:highlight w:val="none"/>
        </w:rPr>
        <w:t>二、</w:t>
      </w:r>
      <w:bookmarkEnd w:id="34"/>
      <w:bookmarkEnd w:id="35"/>
      <w:bookmarkEnd w:id="36"/>
      <w:r>
        <w:rPr>
          <w:rFonts w:hint="eastAsia" w:ascii="宋体" w:hAnsi="宋体" w:cs="宋体"/>
          <w:color w:val="auto"/>
          <w:sz w:val="24"/>
          <w:szCs w:val="24"/>
          <w:highlight w:val="none"/>
        </w:rPr>
        <w:t>询价通知书</w:t>
      </w:r>
      <w:bookmarkEnd w:id="37"/>
      <w:bookmarkEnd w:id="38"/>
      <w:r>
        <w:rPr>
          <w:rFonts w:hint="eastAsia" w:ascii="宋体" w:hAnsi="宋体" w:cs="宋体"/>
          <w:color w:val="auto"/>
          <w:sz w:val="24"/>
          <w:szCs w:val="24"/>
          <w:highlight w:val="none"/>
        </w:rPr>
        <w:tab/>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（一）询价通知书由询价邀请书、供应商须知、询价项目技术需求、询价项目商务需求、响应文件格式要求、采购合同模板六部分组成。</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（二）采购人（或采购代理机构）所作的一切有效的书面通知、修改及补充，都是询价通知书不可分割的部分。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（三）询价通知书的解释</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如对询价通知书有疑问，必须以书面形式在提交响应文件截止时间1个工作日前向采购人（或采购代理机构）要求澄清，采购人（或采购代理机构）可视具体情况做出处理或答复。如供应商未提出疑问，视为完全理解并同意本询价通知书。一经进入询价程序，即视为供应商已详细阅读全部文件资料，完全理解询价通知书所有条款内容并同意放弃对这方面有不明白及误解的权利。</w:t>
      </w:r>
      <w:bookmarkStart w:id="39" w:name="_Toc318166429"/>
      <w:bookmarkStart w:id="40" w:name="_Toc318159780"/>
      <w:bookmarkStart w:id="41" w:name="_Toc318159160"/>
      <w:bookmarkStart w:id="42" w:name="_Toc318159349"/>
    </w:p>
    <w:bookmarkEnd w:id="39"/>
    <w:bookmarkEnd w:id="40"/>
    <w:bookmarkEnd w:id="41"/>
    <w:bookmarkEnd w:id="42"/>
    <w:p>
      <w:pPr>
        <w:pStyle w:val="6"/>
        <w:spacing w:before="0" w:after="0" w:line="360" w:lineRule="auto"/>
        <w:rPr>
          <w:rFonts w:hint="eastAsia" w:ascii="宋体" w:hAnsi="宋体" w:cs="宋体"/>
          <w:color w:val="auto"/>
          <w:sz w:val="24"/>
          <w:szCs w:val="24"/>
          <w:highlight w:val="none"/>
        </w:rPr>
      </w:pPr>
      <w:bookmarkStart w:id="43" w:name="_Toc26774"/>
      <w:bookmarkStart w:id="44" w:name="_Toc487204781"/>
      <w:bookmarkStart w:id="45" w:name="_Toc342913392"/>
      <w:bookmarkStart w:id="46" w:name="_Toc179714297"/>
      <w:bookmarkStart w:id="47" w:name="_Toc426965632"/>
      <w:bookmarkStart w:id="48" w:name="_Toc102227318"/>
      <w:bookmarkStart w:id="49" w:name="_Toc10104"/>
      <w:r>
        <w:rPr>
          <w:rFonts w:hint="eastAsia" w:ascii="宋体" w:hAnsi="宋体" w:cs="宋体"/>
          <w:color w:val="auto"/>
          <w:sz w:val="24"/>
          <w:szCs w:val="24"/>
          <w:highlight w:val="none"/>
        </w:rPr>
        <w:t>三、询价要求</w:t>
      </w:r>
      <w:bookmarkEnd w:id="43"/>
      <w:bookmarkEnd w:id="44"/>
      <w:bookmarkEnd w:id="45"/>
      <w:bookmarkEnd w:id="46"/>
      <w:bookmarkEnd w:id="47"/>
      <w:bookmarkEnd w:id="48"/>
      <w:bookmarkEnd w:id="49"/>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（一）响应文件</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供应商应当按照询价通知书的要求编制响应文件，并对询价通知书提出的要求和条件作出实质性响应，同时应编制完整的页码、目录。</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1、响应文件组成</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2、联合体</w:t>
      </w:r>
    </w:p>
    <w:p>
      <w:pPr>
        <w:snapToGrid w:val="0"/>
        <w:spacing w:line="360" w:lineRule="auto"/>
        <w:ind w:firstLine="480"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本项目不接受联合体竞标。</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3、询价有效期：响应文件及有关承诺文件有效期为询价开始时间起90天。</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（二）保证金：</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1、供应商提交保证金金额和方式详见“</w:t>
      </w:r>
      <w:r>
        <w:rPr>
          <w:rFonts w:hint="eastAsia" w:ascii="宋体" w:hAnsi="宋体" w:cs="宋体"/>
          <w:b/>
          <w:color w:val="auto"/>
          <w:sz w:val="24"/>
          <w:szCs w:val="24"/>
          <w:highlight w:val="none"/>
        </w:rPr>
        <w:t>第一篇</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2、发生以下情况之一者，保证金不予退还：</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2.1供应商在提交响应文件截止时间后撤回响应文件的；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2.2供应商在响应文件中提供虚假材料的；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2.3除因不可抗力或询价通知书认可的情形以外，成交供应商不与采购人签订合同的；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2.4供应商与采购人、其他供应商或者采购代理机构恶意串通的；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2.5询价通知书规定的其他情形。</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（三）报价要求</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次询价报价为人民币报价，报价包括完成本项目所需的设备或货物购买（制造）费、辅材费、运输费、装卸费、安装调试费、税费等全部费用。因成交供应商自身原因造成漏报、少报皆由其自行承担责任，采购人不再补偿。</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（四）修正错误</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若响应文件出现计算或表达上的错误，修正错误的原则如下：</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1.响应文件中报价函的内容与响应文件中相应内容不一致的，以报价函为准；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2.大写金额和小写金额不一致的，以大写金额为准；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3.单价金额小数点或者百分比有明显错位的，以报价函总价为准，并修改单价；</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4.总价金额与按单价汇总金额不一致的，以单价金额计算结果为准。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询价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p>
    <w:p>
      <w:pPr>
        <w:snapToGrid w:val="0"/>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（五）提交响应文件的份数和签署</w:t>
      </w:r>
    </w:p>
    <w:p>
      <w:pPr>
        <w:pStyle w:val="59"/>
        <w:spacing w:after="0" w:line="360" w:lineRule="auto"/>
        <w:ind w:left="0" w:leftChars="0"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1、响应文件一式</w:t>
      </w:r>
      <w:r>
        <w:rPr>
          <w:rFonts w:hint="eastAsia" w:ascii="宋体" w:hAnsi="宋体" w:cs="宋体"/>
          <w:color w:val="auto"/>
          <w:sz w:val="24"/>
          <w:szCs w:val="24"/>
          <w:highlight w:val="none"/>
          <w:lang w:eastAsia="zh-CN"/>
        </w:rPr>
        <w:t>叁</w:t>
      </w:r>
      <w:r>
        <w:rPr>
          <w:rFonts w:hint="eastAsia" w:ascii="宋体" w:hAnsi="宋体" w:cs="宋体"/>
          <w:color w:val="auto"/>
          <w:sz w:val="24"/>
          <w:szCs w:val="24"/>
          <w:highlight w:val="none"/>
        </w:rPr>
        <w:t>份，其中正本</w:t>
      </w:r>
      <w:r>
        <w:rPr>
          <w:rFonts w:hint="eastAsia" w:ascii="宋体" w:hAnsi="宋体" w:cs="宋体"/>
          <w:color w:val="auto"/>
          <w:sz w:val="24"/>
          <w:szCs w:val="24"/>
          <w:highlight w:val="none"/>
          <w:lang w:eastAsia="zh-CN"/>
        </w:rPr>
        <w:t>一份、副本</w:t>
      </w:r>
      <w:r>
        <w:rPr>
          <w:rFonts w:hint="eastAsia" w:ascii="宋体" w:hAnsi="宋体" w:cs="宋体"/>
          <w:color w:val="auto"/>
          <w:sz w:val="24"/>
          <w:szCs w:val="24"/>
          <w:highlight w:val="none"/>
        </w:rPr>
        <w:t>一份，</w:t>
      </w:r>
      <w:r>
        <w:rPr>
          <w:rFonts w:hint="eastAsia" w:ascii="宋体" w:hAnsi="宋体" w:eastAsia="宋体" w:cs="宋体"/>
          <w:color w:val="auto"/>
          <w:sz w:val="24"/>
          <w:szCs w:val="24"/>
          <w:highlight w:val="none"/>
          <w:lang w:eastAsia="zh-CN"/>
        </w:rPr>
        <w:t>电子文档一份（电子文档内容应与纸质文件正本一致，即响应文件正本签字盖章完整的扫描件PDF格式，采用U盘为电子文档载体），</w:t>
      </w:r>
      <w:r>
        <w:rPr>
          <w:rFonts w:hint="eastAsia" w:ascii="宋体" w:hAnsi="宋体" w:cs="宋体"/>
          <w:color w:val="auto"/>
          <w:sz w:val="24"/>
          <w:szCs w:val="24"/>
          <w:highlight w:val="none"/>
        </w:rPr>
        <w:t>副本可为正本的复印件，应与正本一致，如出现不一致情况以正本为准。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2、在响应文件正本中，询价通知书第六篇响应文件格式中规定签字、盖章的地方必须按其规定签字、盖章。</w:t>
      </w:r>
    </w:p>
    <w:p>
      <w:pPr>
        <w:pStyle w:val="59"/>
        <w:spacing w:after="0" w:line="360" w:lineRule="auto"/>
        <w:ind w:left="0" w:lef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3、若供应商对响应文件的错处作必要修改，则应在修改处加盖供应商公章或由法定代表人（或其授权代表）或自然人（供应商为自然人）签署确认。</w:t>
      </w:r>
    </w:p>
    <w:p>
      <w:pPr>
        <w:pStyle w:val="59"/>
        <w:spacing w:after="0" w:line="360" w:lineRule="auto"/>
        <w:ind w:left="0" w:leftChars="0"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4、电报、电话、传真形式的响应文件概不接受</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（六）响应文件的递交</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投递截止时间：见询价通知书第一篇。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（七）响应文件语言：简体中文</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（八）供应商参与人员</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各个供应商可派1-2名代表参与询价，至少1人应为法定代表人或具有法定代表人授权委托书的授权代表。</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（九）无效响应</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1、供应商不符合资格要求的；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2、供应商未按照询价通知书的要求缴纳保证金的；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3、供应商所提交的响应文件不按规定签字、盖章的；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4、供应商的报价超过采购预算（若有采购预算单价，则含采购预算单价）的；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5、供应商响应文件附有采购人无法接受的条件的；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6、供应商串通投标的；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7、供应商组成联合体投标的；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8、法律、法规和询价通知书规定的其他无效情形。</w:t>
      </w:r>
      <w:bookmarkStart w:id="50" w:name="_Toc492721019"/>
      <w:bookmarkStart w:id="51" w:name="_Toc493506302"/>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（十）废标条款</w:t>
      </w:r>
      <w:bookmarkEnd w:id="50"/>
      <w:bookmarkEnd w:id="51"/>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出现下列情形之一的，采购人或者采购代理机构应当终止询价采购活动，发布项目终止公告并说明原因，重新开展采购活动：</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1、因情况变化，不再符合规定的询价采购方式适用情形的；</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2、出现影响采购公正的违法、违规行为的；</w:t>
      </w:r>
    </w:p>
    <w:p>
      <w:pPr>
        <w:pStyle w:val="6"/>
        <w:spacing w:before="0" w:after="0" w:line="360" w:lineRule="auto"/>
        <w:rPr>
          <w:rFonts w:hint="eastAsia" w:ascii="宋体" w:hAnsi="宋体" w:cs="宋体"/>
          <w:color w:val="auto"/>
          <w:sz w:val="24"/>
          <w:szCs w:val="24"/>
          <w:highlight w:val="none"/>
        </w:rPr>
      </w:pPr>
      <w:bookmarkStart w:id="52" w:name="_Toc179714298"/>
      <w:bookmarkStart w:id="53" w:name="_Toc102227319"/>
      <w:bookmarkStart w:id="54" w:name="_Toc426965633"/>
      <w:bookmarkStart w:id="55" w:name="_Toc487204782"/>
      <w:bookmarkStart w:id="56" w:name="_Toc342913393"/>
      <w:bookmarkStart w:id="57" w:name="_Toc10039"/>
      <w:bookmarkStart w:id="58" w:name="_Toc31741"/>
      <w:r>
        <w:rPr>
          <w:rFonts w:hint="eastAsia" w:ascii="宋体" w:hAnsi="宋体" w:cs="宋体"/>
          <w:color w:val="auto"/>
          <w:sz w:val="24"/>
          <w:szCs w:val="24"/>
          <w:highlight w:val="none"/>
        </w:rPr>
        <w:t>四、</w:t>
      </w:r>
      <w:bookmarkEnd w:id="52"/>
      <w:bookmarkEnd w:id="53"/>
      <w:bookmarkEnd w:id="54"/>
      <w:bookmarkEnd w:id="55"/>
      <w:bookmarkEnd w:id="56"/>
      <w:r>
        <w:rPr>
          <w:rFonts w:hint="eastAsia" w:ascii="宋体" w:hAnsi="宋体" w:cs="宋体"/>
          <w:color w:val="auto"/>
          <w:sz w:val="24"/>
          <w:szCs w:val="24"/>
          <w:highlight w:val="none"/>
        </w:rPr>
        <w:t>询价程序及成交标准</w:t>
      </w:r>
      <w:bookmarkEnd w:id="57"/>
      <w:bookmarkEnd w:id="58"/>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（一）本项目询价按照询价通知书规定的时间和地点进行。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（二）资格性符合性检查</w:t>
      </w:r>
    </w:p>
    <w:p>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24"/>
          <w:highlight w:val="none"/>
        </w:rPr>
        <w:t>1.资格性检查。依据法律法规和竞采通知书的规定，对响应文件中的资格证明、保证金等进行审查，以确定供应商是否具备竞采资格。资格性检查资料表如下：</w:t>
      </w:r>
    </w:p>
    <w:tbl>
      <w:tblPr>
        <w:tblStyle w:val="60"/>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2835"/>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800" w:type="dxa"/>
            <w:gridSpan w:val="2"/>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5812" w:type="dxa"/>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noWrap w:val="0"/>
            <w:vAlign w:val="center"/>
          </w:tcPr>
          <w:p>
            <w:pPr>
              <w:spacing w:line="3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965" w:type="dxa"/>
            <w:vMerge w:val="restart"/>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2835" w:type="dxa"/>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5812"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投标人法人营业执照（副本）或事业单位法人证书（副本）或个体工商户营业执照或有效的自然人身份证明或社会团体法人登记证书（提供复印件）。 </w:t>
            </w:r>
          </w:p>
          <w:p>
            <w:pPr>
              <w:rPr>
                <w:rFonts w:hint="eastAsia" w:ascii="宋体" w:hAnsi="宋体" w:cs="宋体"/>
                <w:color w:val="auto"/>
                <w:sz w:val="21"/>
                <w:szCs w:val="21"/>
                <w:highlight w:val="none"/>
              </w:rPr>
            </w:pPr>
            <w:r>
              <w:rPr>
                <w:rFonts w:hint="eastAsia" w:ascii="宋体" w:hAnsi="宋体" w:cs="宋体"/>
                <w:color w:val="auto"/>
                <w:sz w:val="21"/>
                <w:szCs w:val="21"/>
                <w:highlight w:val="none"/>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5812" w:type="dxa"/>
            <w:vMerge w:val="restart"/>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（3）具有履行合同所必需的设备和专业服务能力</w:t>
            </w:r>
          </w:p>
        </w:tc>
        <w:tc>
          <w:tcPr>
            <w:tcW w:w="5812" w:type="dxa"/>
            <w:vMerge w:val="continue"/>
            <w:noWrap w:val="0"/>
            <w:vAlign w:val="center"/>
          </w:tcPr>
          <w:p>
            <w:pPr>
              <w:spacing w:line="380" w:lineRule="exac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5812" w:type="dxa"/>
            <w:vMerge w:val="continue"/>
            <w:noWrap w:val="0"/>
            <w:vAlign w:val="center"/>
          </w:tcPr>
          <w:p>
            <w:pP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561" w:type="dxa"/>
            <w:vMerge w:val="continue"/>
            <w:noWrap w:val="0"/>
            <w:vAlign w:val="center"/>
          </w:tcPr>
          <w:p>
            <w:pPr>
              <w:spacing w:line="380" w:lineRule="exact"/>
              <w:jc w:val="center"/>
              <w:rPr>
                <w:rFonts w:hint="eastAsia" w:ascii="宋体" w:hAnsi="宋体" w:cs="宋体"/>
                <w:color w:val="auto"/>
                <w:sz w:val="21"/>
                <w:szCs w:val="21"/>
                <w:highlight w:val="none"/>
              </w:rPr>
            </w:pPr>
          </w:p>
        </w:tc>
        <w:tc>
          <w:tcPr>
            <w:tcW w:w="965" w:type="dxa"/>
            <w:vMerge w:val="continue"/>
            <w:noWrap w:val="0"/>
            <w:vAlign w:val="center"/>
          </w:tcPr>
          <w:p>
            <w:pPr>
              <w:spacing w:line="380" w:lineRule="exact"/>
              <w:rPr>
                <w:rFonts w:hint="eastAsia" w:ascii="宋体" w:hAnsi="宋体" w:cs="宋体"/>
                <w:color w:val="auto"/>
                <w:sz w:val="21"/>
                <w:szCs w:val="21"/>
                <w:highlight w:val="none"/>
                <w:lang w:val="zh-CN"/>
              </w:rPr>
            </w:pPr>
          </w:p>
        </w:tc>
        <w:tc>
          <w:tcPr>
            <w:tcW w:w="2835" w:type="dxa"/>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（5）参加政府采购活动前三年内，在经营活动中没有重大违法记录（注</w:t>
            </w:r>
            <w:r>
              <w:rPr>
                <w:rFonts w:hint="eastAsia" w:ascii="宋体" w:hAnsi="宋体" w:cs="宋体"/>
                <w:color w:val="auto"/>
                <w:kern w:val="0"/>
                <w:sz w:val="24"/>
                <w:szCs w:val="24"/>
                <w:highlight w:val="none"/>
              </w:rPr>
              <w:sym w:font="Wingdings" w:char="F081"/>
            </w:r>
            <w:r>
              <w:rPr>
                <w:rFonts w:hint="eastAsia" w:ascii="宋体" w:hAnsi="宋体" w:cs="宋体"/>
                <w:color w:val="auto"/>
                <w:sz w:val="21"/>
                <w:szCs w:val="21"/>
                <w:highlight w:val="none"/>
              </w:rPr>
              <w:t>）</w:t>
            </w:r>
          </w:p>
        </w:tc>
        <w:tc>
          <w:tcPr>
            <w:tcW w:w="5812" w:type="dxa"/>
            <w:vMerge w:val="continue"/>
            <w:noWrap w:val="0"/>
            <w:vAlign w:val="center"/>
          </w:tcPr>
          <w:p>
            <w:pPr>
              <w:spacing w:line="240" w:lineRule="exact"/>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noWrap w:val="0"/>
            <w:vAlign w:val="center"/>
          </w:tcPr>
          <w:p>
            <w:pPr>
              <w:keepNext/>
              <w:keepLines/>
              <w:spacing w:before="260" w:after="260" w:line="380" w:lineRule="exact"/>
              <w:jc w:val="center"/>
              <w:outlineLvl w:val="2"/>
              <w:rPr>
                <w:rFonts w:hint="eastAsia" w:ascii="宋体" w:hAnsi="宋体" w:cs="宋体"/>
                <w:color w:val="auto"/>
                <w:sz w:val="21"/>
                <w:szCs w:val="21"/>
                <w:highlight w:val="none"/>
              </w:rPr>
            </w:pPr>
          </w:p>
        </w:tc>
        <w:tc>
          <w:tcPr>
            <w:tcW w:w="965" w:type="dxa"/>
            <w:vMerge w:val="continue"/>
            <w:noWrap w:val="0"/>
            <w:vAlign w:val="center"/>
          </w:tcPr>
          <w:p>
            <w:pPr>
              <w:keepNext/>
              <w:keepLines/>
              <w:spacing w:before="260" w:after="260" w:line="380" w:lineRule="exact"/>
              <w:outlineLvl w:val="2"/>
              <w:rPr>
                <w:rFonts w:hint="eastAsia" w:ascii="宋体" w:hAnsi="宋体" w:cs="宋体"/>
                <w:color w:val="auto"/>
                <w:sz w:val="21"/>
                <w:szCs w:val="21"/>
                <w:highlight w:val="none"/>
                <w:lang w:val="zh-CN"/>
              </w:rPr>
            </w:pPr>
          </w:p>
        </w:tc>
        <w:tc>
          <w:tcPr>
            <w:tcW w:w="2835" w:type="dxa"/>
            <w:noWrap w:val="0"/>
            <w:vAlign w:val="center"/>
          </w:tcPr>
          <w:p>
            <w:pPr>
              <w:rPr>
                <w:rFonts w:hint="eastAsia"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5812" w:type="dxa"/>
            <w:noWrap w:val="0"/>
            <w:vAlign w:val="center"/>
          </w:tcPr>
          <w:p>
            <w:pPr>
              <w:keepNext/>
              <w:keepLines/>
              <w:spacing w:before="260" w:after="260"/>
              <w:jc w:val="left"/>
              <w:outlineLvl w:val="2"/>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pPr>
              <w:spacing w:line="3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3800" w:type="dxa"/>
            <w:gridSpan w:val="2"/>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特定资格条件</w:t>
            </w:r>
          </w:p>
        </w:tc>
        <w:tc>
          <w:tcPr>
            <w:tcW w:w="5812" w:type="dxa"/>
            <w:noWrap w:val="0"/>
            <w:vAlign w:val="center"/>
          </w:tcPr>
          <w:p>
            <w:pPr>
              <w:rPr>
                <w:rFonts w:hint="eastAsia" w:ascii="宋体" w:hAnsi="宋体" w:cs="宋体"/>
                <w:color w:val="auto"/>
                <w:sz w:val="21"/>
                <w:szCs w:val="21"/>
                <w:highlight w:val="none"/>
              </w:rPr>
            </w:pPr>
            <w:bookmarkStart w:id="59" w:name="_Toc11965"/>
            <w:bookmarkStart w:id="60" w:name="_Toc13413"/>
            <w:r>
              <w:rPr>
                <w:rFonts w:hint="eastAsia" w:ascii="宋体" w:hAnsi="宋体" w:cs="宋体"/>
                <w:color w:val="auto"/>
                <w:sz w:val="22"/>
                <w:szCs w:val="22"/>
                <w:highlight w:val="none"/>
              </w:rPr>
              <w:t>按第一篇“资格要求（二）特定资格条件”的要求提交证明文件复印件并加盖供应商公章。</w:t>
            </w:r>
            <w:bookmarkEnd w:id="59"/>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noWrap w:val="0"/>
            <w:vAlign w:val="center"/>
          </w:tcPr>
          <w:p>
            <w:pPr>
              <w:spacing w:line="38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3800" w:type="dxa"/>
            <w:gridSpan w:val="2"/>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询价保证金</w:t>
            </w:r>
          </w:p>
        </w:tc>
        <w:tc>
          <w:tcPr>
            <w:tcW w:w="5812" w:type="dxa"/>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保证金到账截止时间前提交足额缴纳保证金，且满足询价通知书第一篇五、保证金中的相关规定。</w:t>
            </w:r>
          </w:p>
        </w:tc>
      </w:tr>
    </w:tbl>
    <w:p>
      <w:pPr>
        <w:snapToGrid w:val="0"/>
        <w:spacing w:line="380" w:lineRule="exact"/>
        <w:rPr>
          <w:rFonts w:hint="eastAsia" w:ascii="宋体" w:hAnsi="宋体" w:cs="宋体"/>
          <w:color w:val="auto"/>
          <w:kern w:val="0"/>
          <w:sz w:val="24"/>
          <w:szCs w:val="24"/>
          <w:highlight w:val="none"/>
        </w:rPr>
      </w:pPr>
    </w:p>
    <w:p>
      <w:pPr>
        <w:snapToGrid w:val="0"/>
        <w:spacing w:line="38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pPr>
        <w:snapToGrid w:val="0"/>
        <w:spacing w:line="380" w:lineRule="exact"/>
        <w:ind w:firstLine="240" w:firstLineChars="1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sym w:font="Wingdings" w:char="F081"/>
      </w:r>
      <w:r>
        <w:rPr>
          <w:rFonts w:hint="eastAsia" w:ascii="宋体" w:hAnsi="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pPr>
        <w:snapToGrid w:val="0"/>
        <w:spacing w:line="38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2.符合性检查。依据询价通知书的规定，从响应文件的有效性、完整性和对询价通知书的响应程度进行审查，以确定是否对询价通知书的实质性要求作出响应。符合性检查资料表如下：</w:t>
      </w:r>
    </w:p>
    <w:tbl>
      <w:tblPr>
        <w:tblStyle w:val="6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6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响应文件签署</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按询价文件“第六篇响应文件格式”要求签署、盖章。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法定代表人身份证明及授权委托书有效，符合询价通知书规定的格式，签字或盖章齐全。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lang w:val="zh-CN"/>
              </w:rPr>
              <w:t>每个分包只能有一个</w:t>
            </w: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响应</w:t>
            </w:r>
            <w:r>
              <w:rPr>
                <w:rFonts w:hint="eastAsia" w:ascii="宋体" w:hAnsi="宋体" w:cs="宋体"/>
                <w:color w:val="auto"/>
                <w:sz w:val="21"/>
                <w:szCs w:val="21"/>
                <w:highlight w:val="none"/>
                <w:lang w:val="zh-CN"/>
              </w:rPr>
              <w:t>文件数量符合</w:t>
            </w:r>
            <w:r>
              <w:rPr>
                <w:rFonts w:hint="eastAsia" w:ascii="宋体" w:hAnsi="宋体" w:cs="宋体"/>
                <w:color w:val="auto"/>
                <w:sz w:val="21"/>
                <w:szCs w:val="21"/>
                <w:highlight w:val="none"/>
              </w:rPr>
              <w:t>询价通知书</w:t>
            </w:r>
            <w:r>
              <w:rPr>
                <w:rFonts w:hint="eastAsia" w:ascii="宋体" w:hAnsi="宋体" w:cs="宋体"/>
                <w:color w:val="auto"/>
                <w:sz w:val="21"/>
                <w:szCs w:val="21"/>
                <w:highlight w:val="none"/>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sz w:val="21"/>
                <w:szCs w:val="21"/>
                <w:highlight w:val="none"/>
                <w:lang w:val="zh-CN"/>
              </w:rPr>
            </w:pPr>
            <w:r>
              <w:rPr>
                <w:rFonts w:hint="eastAsia" w:ascii="宋体" w:hAnsi="宋体" w:cs="宋体"/>
                <w:color w:val="auto"/>
                <w:kern w:val="0"/>
                <w:sz w:val="21"/>
                <w:szCs w:val="21"/>
                <w:highlight w:val="none"/>
              </w:rPr>
              <w:t>询价通知书的响应程度审查</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响应文件内容</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pStyle w:val="34"/>
              <w:spacing w:line="38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对询价通知书第三篇、第四篇规定的询价内容作出响应。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kern w:val="0"/>
                <w:sz w:val="21"/>
                <w:szCs w:val="21"/>
                <w:highlight w:val="none"/>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260" w:after="260" w:line="380" w:lineRule="exact"/>
              <w:jc w:val="left"/>
              <w:outlineLvl w:val="2"/>
              <w:rPr>
                <w:rFonts w:hint="eastAsia" w:ascii="宋体" w:hAnsi="宋体" w:cs="宋体"/>
                <w:color w:val="auto"/>
                <w:sz w:val="21"/>
                <w:szCs w:val="21"/>
                <w:highlight w:val="none"/>
                <w:lang w:val="zh-CN"/>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询价有效期</w:t>
            </w:r>
          </w:p>
        </w:tc>
        <w:tc>
          <w:tcPr>
            <w:tcW w:w="604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满足询价通知书</w:t>
            </w:r>
            <w:r>
              <w:rPr>
                <w:rFonts w:hint="eastAsia" w:ascii="宋体" w:hAnsi="宋体" w:cs="宋体"/>
                <w:color w:val="auto"/>
                <w:sz w:val="21"/>
                <w:szCs w:val="21"/>
                <w:highlight w:val="none"/>
                <w:lang w:val="zh-CN"/>
              </w:rPr>
              <w:t>规定。</w:t>
            </w:r>
          </w:p>
        </w:tc>
      </w:tr>
    </w:tbl>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（3）在询价过程中询价的任何一方不得向他人透露与询价有关的技术资料、价格或其他信息。</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（四）对技术和商务部分的评审</w:t>
      </w:r>
    </w:p>
    <w:p>
      <w:pPr>
        <w:snapToGrid w:val="0"/>
        <w:spacing w:line="360" w:lineRule="auto"/>
        <w:ind w:firstLine="480"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1、“第三篇  询价采购项目技术要求”技术规格及质量要求中有一条及以上不能满足要求的供应商为无效响应；</w:t>
      </w:r>
    </w:p>
    <w:p>
      <w:pPr>
        <w:snapToGrid w:val="0"/>
        <w:spacing w:line="360" w:lineRule="auto"/>
        <w:ind w:firstLine="480"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2、“第四篇  商务需求”有一条及以上不能满足要求的供应商为无效响应。</w:t>
      </w:r>
    </w:p>
    <w:p>
      <w:pPr>
        <w:snapToGrid w:val="0"/>
        <w:spacing w:line="360" w:lineRule="auto"/>
        <w:ind w:firstLine="480" w:firstLineChars="200"/>
        <w:rPr>
          <w:rFonts w:hint="eastAsia" w:ascii="宋体" w:hAnsi="宋体" w:cs="宋体"/>
          <w:color w:val="auto"/>
          <w:sz w:val="24"/>
          <w:szCs w:val="24"/>
          <w:highlight w:val="none"/>
        </w:rPr>
      </w:pPr>
      <w:bookmarkStart w:id="61" w:name="_Toc102227320"/>
      <w:bookmarkStart w:id="62" w:name="_Toc426965635"/>
      <w:bookmarkStart w:id="63" w:name="_Toc342913394"/>
      <w:bookmarkStart w:id="64" w:name="_Toc487204784"/>
      <w:r>
        <w:rPr>
          <w:rFonts w:hint="eastAsia" w:ascii="宋体" w:hAnsi="宋体" w:cs="宋体"/>
          <w:color w:val="auto"/>
          <w:sz w:val="24"/>
          <w:szCs w:val="24"/>
          <w:highlight w:val="none"/>
        </w:rPr>
        <w:t>（五）成交</w:t>
      </w:r>
      <w:bookmarkEnd w:id="61"/>
      <w:r>
        <w:rPr>
          <w:rFonts w:hint="eastAsia" w:ascii="宋体" w:hAnsi="宋体" w:cs="宋体"/>
          <w:color w:val="auto"/>
          <w:sz w:val="24"/>
          <w:szCs w:val="24"/>
          <w:highlight w:val="none"/>
        </w:rPr>
        <w:t>标准</w:t>
      </w:r>
      <w:bookmarkEnd w:id="62"/>
      <w:bookmarkEnd w:id="63"/>
      <w:bookmarkEnd w:id="64"/>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1、询价小组将依照本询价通知书相关规定对质量和服务均能满足询价实质性响应要求的供应商所提交的报价按照由低到高的顺序提出3名及以上成交候选人，并编写评审报告。</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2、若供应商的报价价格相同，按技术参数（条款）的优劣顺序排列；以上都相同的，按服务条款的优劣顺序排列。</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3、成交价格=成交供应商的报价</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询价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询价小组应当将其作为无效投标处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采取采购人确定成交供应商的，采购代理机构应当在评审结束后2个工作日内将评审报告送采购人确认。采购人应当在收到评审报告后5个工作日内，从评审报告提出的成交候选人中，根据质量和服务均能满足询价通知书实质性响应要求且报价最低的原则确定成交供应商。采购人逾期未确定成交供应商且不提出异议的，视为确定评审报告提出的最后报价最低的供应商为成交供应商。采购人也可以授权询价小组直接确定成交供应商。</w:t>
      </w:r>
    </w:p>
    <w:p>
      <w:pPr>
        <w:pStyle w:val="6"/>
        <w:spacing w:before="0" w:after="0" w:line="360" w:lineRule="auto"/>
        <w:rPr>
          <w:rFonts w:hint="eastAsia" w:ascii="宋体" w:hAnsi="宋体" w:cs="宋体"/>
          <w:color w:val="auto"/>
          <w:sz w:val="24"/>
          <w:szCs w:val="24"/>
          <w:highlight w:val="none"/>
        </w:rPr>
      </w:pPr>
      <w:bookmarkStart w:id="65" w:name="_Toc15143"/>
      <w:bookmarkStart w:id="66" w:name="_Toc1719"/>
      <w:r>
        <w:rPr>
          <w:rFonts w:hint="eastAsia" w:ascii="宋体" w:hAnsi="宋体" w:cs="宋体"/>
          <w:color w:val="auto"/>
          <w:sz w:val="24"/>
          <w:szCs w:val="24"/>
          <w:highlight w:val="none"/>
        </w:rPr>
        <w:t>五、评审依据</w:t>
      </w:r>
      <w:bookmarkEnd w:id="65"/>
      <w:bookmarkEnd w:id="66"/>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评审的依据为询价通知书和响应文件（含有效的补充文件）。询价小组判断响应文件对询价通知书的响应，仅基于响应文件本身而不靠外部证据。</w:t>
      </w:r>
    </w:p>
    <w:p>
      <w:pPr>
        <w:snapToGrid w:val="0"/>
        <w:spacing w:line="360" w:lineRule="auto"/>
        <w:rPr>
          <w:rFonts w:hint="eastAsia" w:ascii="宋体" w:hAnsi="宋体" w:cs="宋体"/>
          <w:b/>
          <w:bCs/>
          <w:color w:val="auto"/>
          <w:sz w:val="24"/>
          <w:szCs w:val="24"/>
          <w:highlight w:val="none"/>
        </w:rPr>
      </w:pPr>
      <w:bookmarkStart w:id="67" w:name="_Toc102227321"/>
      <w:bookmarkStart w:id="68" w:name="_Toc487204785"/>
      <w:bookmarkStart w:id="69" w:name="_Toc426965636"/>
      <w:bookmarkStart w:id="70" w:name="_Toc342913395"/>
      <w:r>
        <w:rPr>
          <w:rFonts w:hint="eastAsia" w:ascii="宋体" w:hAnsi="宋体" w:cs="宋体"/>
          <w:b/>
          <w:bCs/>
          <w:color w:val="auto"/>
          <w:sz w:val="24"/>
          <w:szCs w:val="24"/>
          <w:highlight w:val="none"/>
        </w:rPr>
        <w:t>六、成交通知</w:t>
      </w:r>
      <w:bookmarkEnd w:id="67"/>
      <w:bookmarkEnd w:id="68"/>
      <w:bookmarkEnd w:id="69"/>
      <w:bookmarkEnd w:id="70"/>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（一）成交供应商确定后，采购</w:t>
      </w:r>
      <w:r>
        <w:rPr>
          <w:rFonts w:hint="eastAsia" w:ascii="宋体" w:hAnsi="宋体" w:cs="宋体"/>
          <w:color w:val="auto"/>
          <w:sz w:val="24"/>
          <w:szCs w:val="24"/>
          <w:highlight w:val="none"/>
          <w:lang w:eastAsia="zh-CN"/>
        </w:rPr>
        <w:t>人</w:t>
      </w:r>
      <w:r>
        <w:rPr>
          <w:rFonts w:hint="eastAsia" w:ascii="宋体" w:hAnsi="宋体" w:cs="宋体"/>
          <w:color w:val="auto"/>
          <w:sz w:val="24"/>
          <w:szCs w:val="24"/>
          <w:highlight w:val="none"/>
        </w:rPr>
        <w:t>在</w:t>
      </w:r>
      <w:r>
        <w:rPr>
          <w:rFonts w:hint="eastAsia" w:ascii="宋体" w:hAnsi="宋体" w:cs="宋体"/>
          <w:color w:val="auto"/>
          <w:sz w:val="24"/>
          <w:szCs w:val="24"/>
          <w:highlight w:val="none"/>
          <w:lang w:eastAsia="zh-CN"/>
        </w:rPr>
        <w:t>重庆市荣昌区人民医院官网</w:t>
      </w:r>
      <w:r>
        <w:rPr>
          <w:rFonts w:hint="eastAsia" w:ascii="宋体" w:hAnsi="宋体" w:cs="宋体"/>
          <w:color w:val="auto"/>
          <w:sz w:val="24"/>
          <w:szCs w:val="24"/>
          <w:highlight w:val="none"/>
        </w:rPr>
        <w:t>(</w:t>
      </w:r>
      <w:r>
        <w:rPr>
          <w:rFonts w:hint="eastAsia" w:ascii="宋体" w:hAnsi="宋体" w:cs="宋体"/>
          <w:sz w:val="24"/>
          <w:szCs w:val="24"/>
          <w:lang w:eastAsia="zh-CN"/>
        </w:rPr>
        <w:t>http://www.cqrc120.com/hos_tender/</w:t>
      </w:r>
      <w:r>
        <w:rPr>
          <w:rFonts w:hint="eastAsia" w:ascii="宋体" w:hAnsi="宋体" w:cs="宋体"/>
          <w:color w:val="auto"/>
          <w:sz w:val="24"/>
          <w:szCs w:val="24"/>
          <w:highlight w:val="none"/>
        </w:rPr>
        <w:t>）</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"http://www.cqgp.gov.cn）上发布成交结果公示。" </w:instrText>
      </w:r>
      <w:r>
        <w:rPr>
          <w:rFonts w:hint="eastAsia" w:ascii="宋体" w:hAnsi="宋体" w:cs="宋体"/>
          <w:color w:val="auto"/>
          <w:highlight w:val="none"/>
        </w:rPr>
        <w:fldChar w:fldCharType="separate"/>
      </w:r>
      <w:r>
        <w:rPr>
          <w:rFonts w:hint="eastAsia" w:ascii="宋体" w:hAnsi="宋体" w:cs="宋体"/>
          <w:color w:val="auto"/>
          <w:sz w:val="24"/>
          <w:szCs w:val="24"/>
          <w:highlight w:val="none"/>
        </w:rPr>
        <w:t>上发布成交结果公示。</w:t>
      </w:r>
      <w:r>
        <w:rPr>
          <w:rFonts w:hint="eastAsia" w:ascii="宋体" w:hAnsi="宋体" w:cs="宋体"/>
          <w:color w:val="auto"/>
          <w:sz w:val="24"/>
          <w:szCs w:val="24"/>
          <w:highlight w:val="none"/>
        </w:rPr>
        <w:fldChar w:fldCharType="end"/>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（二）结果公告发出同时，采购</w:t>
      </w:r>
      <w:r>
        <w:rPr>
          <w:rFonts w:hint="eastAsia" w:ascii="宋体" w:hAnsi="宋体" w:cs="宋体"/>
          <w:color w:val="auto"/>
          <w:sz w:val="24"/>
          <w:szCs w:val="24"/>
          <w:highlight w:val="none"/>
          <w:lang w:eastAsia="zh-CN"/>
        </w:rPr>
        <w:t>人</w:t>
      </w:r>
      <w:r>
        <w:rPr>
          <w:rFonts w:hint="eastAsia" w:ascii="宋体" w:hAnsi="宋体" w:cs="宋体"/>
          <w:color w:val="auto"/>
          <w:sz w:val="24"/>
          <w:szCs w:val="24"/>
          <w:highlight w:val="none"/>
        </w:rPr>
        <w:t>将以书面形式发出《成交通知书》。《成交通知书》一经发出即发生法律效力。</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（四）如有供应商对成交结果提出质疑的，在质疑处理完毕后发出成交通知书。</w:t>
      </w:r>
    </w:p>
    <w:p>
      <w:pPr>
        <w:pStyle w:val="6"/>
        <w:spacing w:before="0" w:after="0" w:line="360" w:lineRule="auto"/>
        <w:rPr>
          <w:rFonts w:hint="eastAsia" w:ascii="宋体" w:hAnsi="宋体" w:cs="宋体"/>
          <w:color w:val="auto"/>
          <w:sz w:val="24"/>
          <w:szCs w:val="24"/>
          <w:highlight w:val="none"/>
        </w:rPr>
      </w:pPr>
      <w:bookmarkStart w:id="71" w:name="_Toc1410"/>
      <w:bookmarkStart w:id="72" w:name="_Toc3695"/>
      <w:bookmarkStart w:id="73" w:name="_Toc487204786"/>
      <w:bookmarkStart w:id="74" w:name="_Toc426965637"/>
      <w:r>
        <w:rPr>
          <w:rFonts w:hint="eastAsia" w:ascii="宋体" w:hAnsi="宋体" w:cs="宋体"/>
          <w:color w:val="auto"/>
          <w:sz w:val="24"/>
          <w:szCs w:val="24"/>
          <w:highlight w:val="none"/>
        </w:rPr>
        <w:t>七、关于质疑和投诉</w:t>
      </w:r>
      <w:bookmarkEnd w:id="71"/>
      <w:bookmarkEnd w:id="72"/>
      <w:bookmarkEnd w:id="73"/>
      <w:bookmarkEnd w:id="74"/>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（一）质疑内容、时限</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1、供应商对成交结果有异议的，应当在结果预公示发布之日起七个工作日内以书面形式向采购人、采购代理机构提出质疑，并附相关证明材料。</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2、供应商对询价通知书中供应商特定资格条件、技术质量和商务要求、评审标准及评审细则有异议的，应主要向采购人提出质疑，其他问题可向采购代理机构提出质疑。</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（二）质疑答复</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采购人、采购代理机构将参照《重庆市政府采购供应商质疑投诉处理暂行规定》的相关规定对质疑内容作出答复和处理。</w:t>
      </w:r>
    </w:p>
    <w:p>
      <w:pPr>
        <w:pStyle w:val="6"/>
        <w:spacing w:before="0" w:after="0" w:line="360" w:lineRule="auto"/>
        <w:rPr>
          <w:rFonts w:hint="eastAsia" w:ascii="宋体" w:hAnsi="宋体" w:cs="宋体"/>
          <w:color w:val="auto"/>
          <w:sz w:val="24"/>
          <w:szCs w:val="24"/>
          <w:highlight w:val="none"/>
        </w:rPr>
      </w:pPr>
      <w:bookmarkStart w:id="75" w:name="_Toc102227322"/>
      <w:bookmarkStart w:id="76" w:name="_Toc426965638"/>
      <w:bookmarkStart w:id="77" w:name="_Toc342913396"/>
      <w:bookmarkStart w:id="78" w:name="_Toc5343"/>
      <w:bookmarkStart w:id="79" w:name="_Toc23427"/>
      <w:bookmarkStart w:id="80" w:name="_Toc487204787"/>
      <w:r>
        <w:rPr>
          <w:rFonts w:hint="eastAsia" w:ascii="宋体" w:hAnsi="宋体" w:cs="宋体"/>
          <w:color w:val="auto"/>
          <w:sz w:val="24"/>
          <w:szCs w:val="24"/>
          <w:highlight w:val="none"/>
        </w:rPr>
        <w:t>八、签订</w:t>
      </w:r>
      <w:bookmarkEnd w:id="75"/>
      <w:r>
        <w:rPr>
          <w:rFonts w:hint="eastAsia" w:ascii="宋体" w:hAnsi="宋体" w:cs="宋体"/>
          <w:color w:val="auto"/>
          <w:sz w:val="24"/>
          <w:szCs w:val="24"/>
          <w:highlight w:val="none"/>
        </w:rPr>
        <w:t>合同</w:t>
      </w:r>
      <w:bookmarkEnd w:id="76"/>
      <w:bookmarkEnd w:id="77"/>
      <w:bookmarkEnd w:id="78"/>
      <w:bookmarkEnd w:id="79"/>
      <w:bookmarkEnd w:id="80"/>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（一）采购人与成交供应商应当在成交通知书发出之日起</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0日内，按照询价文件确定的合同文本以及采购标的、规格型号、采购金额、采购数量、技术和服务要求等事项签订政府采购合同。</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（二）询价通知书、成交供应商的响应文件及有效承诺文件等，均为签订合同的依据。</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（三）成交供应商未按照询价通知书确定的事项签订合同，或者与采购人另行订立背离合同实质性内容协议的，将承担相关法律责任。</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采购人不得向成交供应商提出超出询价以外的任何要求作为签订合同的条件，不得与成交供应商订立背离询价确定的合同文本以及采购标的、规格型号、采购金额、采购数量、技术和服务要求等实质性内容的协议。</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（五）除不可抗力等因素外，成交通知书发出后，采购人改变成交结果，或者成交供应商无正当理由拒绝签订政府采购合同的，应当承担相应的法律责任。</w:t>
      </w:r>
    </w:p>
    <w:p>
      <w:pPr>
        <w:ind w:firstLine="720" w:firstLineChars="300"/>
        <w:rPr>
          <w:rFonts w:hint="eastAsia" w:ascii="宋体" w:hAnsi="宋体" w:cs="宋体"/>
          <w:color w:val="auto"/>
          <w:sz w:val="24"/>
          <w:szCs w:val="24"/>
          <w:highlight w:val="none"/>
        </w:rPr>
        <w:sectPr>
          <w:footerReference r:id="rId7" w:type="default"/>
          <w:pgSz w:w="11907" w:h="16840"/>
          <w:pgMar w:top="0" w:right="1080" w:bottom="280" w:left="1080" w:header="964" w:footer="992" w:gutter="0"/>
          <w:pgNumType w:fmt="decimal" w:start="1"/>
          <w:cols w:space="720" w:num="1"/>
          <w:docGrid w:type="linesAndChars" w:linePitch="381" w:charSpace="0"/>
        </w:sectPr>
      </w:pPr>
    </w:p>
    <w:p>
      <w:pPr>
        <w:pStyle w:val="5"/>
        <w:numPr>
          <w:ilvl w:val="0"/>
          <w:numId w:val="14"/>
        </w:numPr>
        <w:jc w:val="center"/>
        <w:rPr>
          <w:rStyle w:val="114"/>
          <w:rFonts w:hint="eastAsia" w:ascii="宋体" w:hAnsi="宋体" w:eastAsia="宋体" w:cs="宋体"/>
          <w:b/>
          <w:color w:val="auto"/>
          <w:highlight w:val="none"/>
        </w:rPr>
      </w:pPr>
      <w:bookmarkStart w:id="81" w:name="_Toc22703"/>
      <w:r>
        <w:rPr>
          <w:rStyle w:val="114"/>
          <w:rFonts w:hint="eastAsia" w:ascii="宋体" w:hAnsi="宋体" w:eastAsia="宋体" w:cs="宋体"/>
          <w:b/>
          <w:color w:val="auto"/>
          <w:highlight w:val="none"/>
        </w:rPr>
        <w:t xml:space="preserve"> 询价采购项目技术要求</w:t>
      </w:r>
      <w:bookmarkEnd w:id="28"/>
      <w:bookmarkEnd w:id="81"/>
    </w:p>
    <w:tbl>
      <w:tblPr>
        <w:tblStyle w:val="60"/>
        <w:tblW w:w="92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2339"/>
        <w:gridCol w:w="2640"/>
        <w:gridCol w:w="465"/>
        <w:gridCol w:w="1005"/>
        <w:gridCol w:w="596"/>
        <w:gridCol w:w="1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单价限价（元)</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尖端紧顶螺丝</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304不锈钢，M6*5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 T5，公牛/4W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9W欧普</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公牛40W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公牛16W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9W欧普</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公牛24W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 18W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公牛36W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公牛12W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LED洁净平板灯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 1200*300MM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LED冷库专用灯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邦镇/25W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LED平板灯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公牛300*600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LED三防灯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永兴防频闪</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LED声光控模组</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公牛12W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LED一体化灯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公牛T5/8W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LED一体化灯架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公牛T5 9W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LED一体化灯架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公牛T5  12W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LED医用洁净平板灯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 1300*380MM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日丰&amp;20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日丰&amp;25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PPR三通</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日丰水晶蓝&amp;25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PPR弯头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日丰水晶蓝/&amp;25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PPR弯头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日丰水晶蓝/&amp;20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日丰/&amp;25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君政/&amp;25/灰色</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PVC存水弯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&amp;75/日丰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&amp;25/华峰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&amp;20/华峰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PVC灰色防腐外丝直接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PVC胶水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联塑/400G</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PVC伸缩节</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日丰/&amp;75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PVC弯头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日丰&amp;50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PVC弯头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PVC座卡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T5LED无影一体化支架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佛山16W/1.2米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U型叉锁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耀阳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暗装三开双控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公牛86型</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暗装小便斗全自动感应冲水器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AT-6318AB</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白炽灯泡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白盖板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公牛86型</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白光灯管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公牛/T8 20W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白光灯盘</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欧普600*1200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板扣</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永德兴/125MM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板扣</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永德兴/100MM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泵吸气体检测报警仪</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K-400A+ZC500四合一+采样泵</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碧丽节能净化自饮机进水组件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90C</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玻璃门地弹簧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N-818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玻璃门下夹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120-140MM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100-120MM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90-110MM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78-101MM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70-89MM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32-44MM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不锈钢抱箍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18-32MM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不锈钢地漏</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创派特厚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不锈钢扶手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不锈钢扶手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304/&amp;25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不锈钢加长水嘴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兰花</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不锈钢开孔器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精品速钢/16-18MM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不锈钢开孔器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精品速钢/20-25MM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不锈钢螺栓</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  12*60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不锈钢欧姆卡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不锈钢球阀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不锈钢脱卸自闭合页</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不锈钢卫生间安全把手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不锈钢执手锁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A0101/50单舌</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不锈钢座子</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304/&amp;25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彩钢钉套筒</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鑫地8MM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槽板（PVC）</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君川24*14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厕所手持喷枪</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侧面抽屉三联锁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公牛3米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公牛606A1.8米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公牛 5米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 606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2寸</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4寸</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沉头钻尾钉</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宏挺/4.2*25/305颗</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瓷砖背胶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雨虹B300防水 5KG</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磁控管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大扁头头自攻螺钉</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大启M4520  600颗/盒</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大扁头头自攻螺钉</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大启M4*20  800颗/盒</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单龙头阀芯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单水高弯龙头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创派</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日丰&amp;20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灯架吊链</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LED灯泡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欧普/12W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电锤钻花</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得力/圆头8*150MM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电井锁体</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国标RVV  5*6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胜华3*1.5MM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国标RVV  5*6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TRVV5*0.5高柔耐折软线</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电热水器混水淋浴阀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华帝</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电容</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30uf</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电梯扶手带驱动链</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电线接线桩</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电源变压器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10W/VA   220V转12V</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公牛/1.5米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公牛2M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电子台秤</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樺利泰/30KG</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电子台秤</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虎王300KG/尺寸74*40*17cm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吊带</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双帆/1T2M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联塑110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动力电度表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德力西DTS606V 220/380V三相四线60A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堵头(PPR)</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君政/&amp;25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断路器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德力西/1P-32A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断路器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4P-63A德力西</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对夹式手柄蝶阀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多功能排插</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公牛109K-5M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多功能排插</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公牛109K</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多功能排插</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公牛413K</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二开开关</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公牛/明装/双控</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800L/380V/4.5K紫铜</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发热管（开水器）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浴豪原装12KW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法兰垫</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法兰软连接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法兰软连接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方盘</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不锈钢40*40*5cm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防爆插座+插头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全套</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防爆接线等三通</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防爆接线等弯头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防爆接线等直通</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防爆接线盒</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平盖DN20三通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防爆进线头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防爆开关</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创新/二开</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防爆开关</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创新/一开</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防爆排风扇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400MM/220V</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防爆配电箱</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400*500*200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防爆软连接管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DN20双头内丝 L=500MM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防爆软连接管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DN25内外丝 L=500MM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防爆双管荧光灯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2*1200MM广东佳明</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防爆双管应急灯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2*1200MM佛山照明</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防爆五孔插座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防盗门锁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防火堵泥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有机环保/2KG/包</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防火发泡胶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郑派</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防火门闭门器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皇冠/大体</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防火门闭门器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通用性</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防水补墙膏</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2.5KG/桶</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浮球阀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恒裕DN100不锈钢</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浮球阀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浮球液位控制器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贝尔/250V  5M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高弯混水龙头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不锈钢/万向/创派</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高压保险管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5KV-0.65A/650mA/6*40mm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等头100cm/九牧</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高压管(九牧王）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等头 60cm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高压管(九牧王）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等头 80cm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高压管(九牧王）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大小头 60cm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高压水枪（软管喷头）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工业级卡簧钳</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得力7寸</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公牛插线板109K</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公牛日光灯管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T8 20W 1200MM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购物车轮子</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购物车轮子</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50mm神吉</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38mm神吉</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管道密封圈</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管道式换气扇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杰诚HF-150P</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合金地槽板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恒温阀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户外单水龙头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不锈钢/创派</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护栏/高度1200mm</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花岗石门套</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换气扇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FA-35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换气扇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400MM反转带网罩</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换气扇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力本/400mm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加长电源线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3*1MM  5米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加厚太空铝</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脚踏式便池冲洗阀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九牧王/5025A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脚踏式便池冲洗阀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九牧王/5113A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瓷白/三棵树</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截止阀(PPR)</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联塑&amp;40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截止阀（PPR)</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联塑/&amp;50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截止阀（PPR)</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联塑/&amp;63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金刚砂纱窗</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870*1755mm定制含安装</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进水电磁阀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康乐达FCD 3-448A12V</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警示路锥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开水机总控电路板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16KW裕豪原厂</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QELIC/&amp;12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空压机管三通</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&amp;12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空压机气管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10*6.5MM/透明</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老式台盆下水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不锈钢87MM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冷凝器安全阀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SDA-22C300T  DN25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淋浴喷头座子</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加厚太空铝</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龙头芯子</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3.5CM混水阀芯</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漏电断路器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德力西3P32A+N上进线</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漏电断路器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德力西2P-32A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漏电断路器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德力西DZ47LE  2P-20A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漏电断路器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德力西2P-63A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螺栓</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4.8级/14*60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铝箔自粘隔热保温棉</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1000*500*20mm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铝合金线槽</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48*12MM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四维2011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马桶法兰圈</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马桶盖</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脲醛加强厚型</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马桶盖固定螺栓卡扣</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美容灯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落地移动冷光放大美容灯/智塑/白玻/15倍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美容灯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落地移动冷光放大美容灯/智塑/白玻/10倍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密封圈</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淋浴管密封圈</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面盆不锈钢下水器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160CM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面盆混水龙头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九牧/平面型</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面盆混水龙头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创派/双孔进水</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内丝弯头(PPR)</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君政&amp;20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内丝直接（PPR)</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日丰水晶蓝/&amp;20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尼龙单轮</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&amp;150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纽扣电池</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超霸/LR44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欧普T8双支平盖</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欧普白光灯管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双端T8 19W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欧普白光灯管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单端 T8 20W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欧普白光球泡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欧普平板灯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300*600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欧普平板灯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18W/300*300MM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欧普筒灯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7寸/18W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欧普筒灯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5寸 9W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公牛筒灯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6寸 15W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排气扇（力本）</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500*500mm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排水管（PVC)</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日丰/110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排水管（PVC)</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日丰/75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膨胀螺栓</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14*150国标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皮吸</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不锈钢柄</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公牛36W/600*600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平板灯（公牛）</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300*1200mm 6500K</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气动阀门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气动三通</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&amp;6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铅酸蓄电池</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阀控式 DJW12-24S</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潜水泵</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QDX30-20-2.2C(2.5寸）</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强光探照灯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锂电大功率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桥架盖板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全身安全带</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五点式带缓冲大双钩</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全自动水龙头感应器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29*10四根针插头</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DN20含切割套丝</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DN20含切割套丝</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热熔胶棒</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日光灯管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佛山照明36W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三杆锁舌</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三角救援架</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含绞盘</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三项插头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公牛10A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三项插座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86型32A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三折抽轨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樱花不锈钢350mm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三折抽轨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樱花不锈钢250mm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三折抽轨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樱花不锈钢200mm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砂轮切割片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金象100*1.2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商用不锈钢单水槽</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不锈钢304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十孔插座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公牛暗装</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十字沉头自攻钉</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宏挺/4*16  800个/盒</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十字沉头自攻螺钉</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宏挺/4*16  1.5千颗/盒</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十字沉头钻尾螺丝</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宏挺/4.2*19  900颗</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石材切割片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东成/105*20*0.8mm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七字单联</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市政护栏</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市政护栏立柱</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室内温湿度计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手持喷枪</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9M加长软管</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双色接地线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BV16MM²</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双用水龙头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创派/不锈钢</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水箱</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九牧/SC3009</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四维单温龙头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M691D1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四维面盆龙头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M76D1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四维水箱</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SC3009</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速差自控器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防坠器10米</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塑钢门执手锁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塑壳断路器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德力西CDM3S-63C/3300  40A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锁体</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老式单舌</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台灯灯管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台盆脚踏阀（九牧王）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面盆龙头+脚踏阀</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台上盆</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560*440*190MM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台下盆</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惠达/18寸圆形</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泰祥白光灯管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T5  0.9M 14W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陶瓷石材偏心钻</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领域8MM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陶瓷石材偏心钻</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领域6MM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体重指数盘</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铁锈转化剂</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灰5KG</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铜锁芯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JMY</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铜芯线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正泰100米/卷 BVR6 国标阻燃 软线</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公牛/5寸</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公牛3.5寸</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投光灯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公牛/LED 30W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投光灯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公牛/LED 150W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投光灯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公牛LED/50W</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拖布池</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304不锈钢60*40*55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椭圆陶瓷台上盆</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560*440*190mm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椭圆陶瓷台上盆</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560*440*190mm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外丝气阀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DN15铜</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不锈钢DN15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外丝直接(PPR)</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日丰水晶蓝/&amp;20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外丝直接(PPR)</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君政&amp;25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镀锌DN20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镀锌20*15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弯头（PVC)</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腾博士/110*45度</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万能胶水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吉祥3L</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万向菜盆龙头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九牧/高弯</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卫生间安全把手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卫生间隔断锁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201不锈钢</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卫生间斜面锁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SUS304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无堵塞排污泵</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威乐WQ15-30-3  380V</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2056.75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下水道疏通器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万家通/3米加粗</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纤维轮</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PVC&amp;20日丰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橡胶密封圈</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橡套电缆</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3*2.5²/上上电缆/国标</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消防管卡箍</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小便池除臭过滤网</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小孔</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小便池防堵下水盖</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7CM陶瓷款</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小便器感应面板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小便器下水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蓄电池</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  150A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旋启式止回阀</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DN100-16-HT200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延时保险管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250V/T8AL</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液压铜接线端子</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16MM²</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一开双控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公牛/明装</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一开双控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公牛/86型暗装</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一体化自动应急平板灯</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LED600*600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椅子脚垫子</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带螺栓加大镀锌平垫</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有机玻璃管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有机玻璃管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14*1050MM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浴室三杆式执手锁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左开/右开</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圆柱拉手</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真空远传压力表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港通-0.1-0.3MPA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正野换气扇</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15-23C</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执手锁</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不锈钢/弹子插芯</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110日丰</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直接</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君政PPR&amp;20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中间继电器</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德力西/220V/8脚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中央空调百叶回风口</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铝合金带滤网790*340MM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中药杆秤</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250G木制杆</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洛阳6204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轴流风机</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佳豹3-2/220V大风量</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轴流风机</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枫亚2.5-2管道式220V</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轴流风机</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铸铁底座</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转换插板</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子母合页</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裕得利/304不锈钢</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自动感应器探头</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半圆银色</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阻燃波纹管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峰盛16MM</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圈</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133217.07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2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价格包含产品、运输配送费、管理费、装卸费以及税费等所有费用。2、成交供应商提供送货单和发票，及时办理出入库。3、供应商建立电子台账，记录供货规格、数量、时间、单价。4、结算以实际配送数量，据实结算。</w:t>
            </w:r>
          </w:p>
        </w:tc>
      </w:tr>
    </w:tbl>
    <w:p>
      <w:pPr>
        <w:rPr>
          <w:rFonts w:hint="eastAsia"/>
        </w:rPr>
      </w:pPr>
    </w:p>
    <w:p>
      <w:pPr>
        <w:numPr>
          <w:ilvl w:val="0"/>
          <w:numId w:val="0"/>
        </w:numPr>
        <w:rPr>
          <w:rFonts w:hint="eastAsia"/>
        </w:rPr>
      </w:pPr>
    </w:p>
    <w:p>
      <w:pPr>
        <w:pStyle w:val="5"/>
        <w:jc w:val="center"/>
        <w:rPr>
          <w:rStyle w:val="114"/>
          <w:rFonts w:hint="eastAsia" w:ascii="宋体" w:hAnsi="宋体" w:eastAsia="宋体" w:cs="宋体"/>
          <w:b/>
          <w:bCs/>
          <w:color w:val="auto"/>
          <w:highlight w:val="none"/>
        </w:rPr>
      </w:pPr>
      <w:bookmarkStart w:id="82" w:name="_Toc26246"/>
      <w:bookmarkStart w:id="83" w:name="_Toc128744993"/>
      <w:bookmarkStart w:id="84" w:name="_Toc12789058"/>
      <w:r>
        <w:rPr>
          <w:rStyle w:val="114"/>
          <w:rFonts w:hint="eastAsia" w:ascii="宋体" w:hAnsi="宋体" w:eastAsia="宋体" w:cs="宋体"/>
          <w:b/>
          <w:bCs/>
          <w:color w:val="auto"/>
          <w:highlight w:val="none"/>
        </w:rPr>
        <w:t>第四篇  商务要求</w:t>
      </w:r>
      <w:bookmarkEnd w:id="82"/>
    </w:p>
    <w:bookmarkEnd w:id="83"/>
    <w:bookmarkEnd w:id="84"/>
    <w:p>
      <w:pPr>
        <w:snapToGrid w:val="0"/>
        <w:spacing w:line="360" w:lineRule="auto"/>
        <w:ind w:firstLine="482" w:firstLineChars="200"/>
        <w:rPr>
          <w:rFonts w:hint="eastAsia" w:ascii="宋体" w:hAnsi="宋体" w:eastAsia="宋体" w:cs="宋体"/>
          <w:b/>
          <w:bCs/>
          <w:color w:val="auto"/>
          <w:sz w:val="24"/>
          <w:szCs w:val="24"/>
          <w:highlight w:val="none"/>
        </w:rPr>
      </w:pPr>
      <w:bookmarkStart w:id="85" w:name="_Toc111472681"/>
      <w:bookmarkStart w:id="86" w:name="_Toc12942"/>
      <w:bookmarkStart w:id="87" w:name="_Toc487204796"/>
      <w:r>
        <w:rPr>
          <w:rFonts w:hint="eastAsia" w:ascii="宋体" w:hAnsi="宋体" w:eastAsia="宋体" w:cs="宋体"/>
          <w:b/>
          <w:bCs/>
          <w:color w:val="auto"/>
          <w:sz w:val="24"/>
          <w:szCs w:val="24"/>
          <w:highlight w:val="none"/>
        </w:rPr>
        <w:t>一、交货时间、地点</w:t>
      </w:r>
      <w:r>
        <w:rPr>
          <w:rFonts w:hint="eastAsia" w:ascii="宋体" w:hAnsi="宋体" w:eastAsia="宋体" w:cs="宋体"/>
          <w:b/>
          <w:bCs/>
          <w:color w:val="auto"/>
          <w:sz w:val="24"/>
          <w:szCs w:val="24"/>
          <w:highlight w:val="none"/>
          <w:lang w:eastAsia="zh-CN"/>
        </w:rPr>
        <w:t>、合同期限</w:t>
      </w:r>
      <w:r>
        <w:rPr>
          <w:rFonts w:hint="eastAsia" w:ascii="宋体" w:hAnsi="宋体" w:eastAsia="宋体" w:cs="宋体"/>
          <w:b/>
          <w:bCs/>
          <w:color w:val="auto"/>
          <w:sz w:val="24"/>
          <w:szCs w:val="24"/>
          <w:highlight w:val="none"/>
        </w:rPr>
        <w:t>及验收方式</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（一）交货时间：</w:t>
      </w:r>
      <w:r>
        <w:rPr>
          <w:rFonts w:hint="eastAsia" w:ascii="宋体" w:hAnsi="宋体" w:eastAsia="宋体" w:cs="宋体"/>
          <w:b w:val="0"/>
          <w:bCs w:val="0"/>
          <w:color w:val="auto"/>
          <w:kern w:val="2"/>
          <w:sz w:val="24"/>
          <w:szCs w:val="24"/>
          <w:highlight w:val="none"/>
          <w:lang w:val="en-US" w:eastAsia="zh-CN" w:bidi="ar-SA"/>
        </w:rPr>
        <w:t>成交供应商在采购合同签订之日起，按照采购人</w:t>
      </w:r>
      <w:r>
        <w:rPr>
          <w:rFonts w:hint="eastAsia" w:ascii="宋体" w:hAnsi="宋体" w:cs="宋体"/>
          <w:b w:val="0"/>
          <w:bCs w:val="0"/>
          <w:color w:val="auto"/>
          <w:kern w:val="2"/>
          <w:sz w:val="24"/>
          <w:szCs w:val="24"/>
          <w:highlight w:val="none"/>
          <w:lang w:val="en-US" w:eastAsia="zh-CN" w:bidi="ar-SA"/>
        </w:rPr>
        <w:t>实际需求</w:t>
      </w:r>
      <w:r>
        <w:rPr>
          <w:rFonts w:hint="eastAsia" w:ascii="宋体" w:hAnsi="宋体" w:eastAsia="宋体" w:cs="宋体"/>
          <w:b w:val="0"/>
          <w:bCs w:val="0"/>
          <w:color w:val="auto"/>
          <w:kern w:val="2"/>
          <w:sz w:val="24"/>
          <w:szCs w:val="24"/>
          <w:highlight w:val="none"/>
          <w:lang w:val="en-US" w:eastAsia="zh-CN" w:bidi="ar-SA"/>
        </w:rPr>
        <w:t>分批次</w:t>
      </w:r>
      <w:r>
        <w:rPr>
          <w:rFonts w:hint="eastAsia" w:ascii="宋体" w:hAnsi="宋体" w:cs="宋体"/>
          <w:b w:val="0"/>
          <w:bCs w:val="0"/>
          <w:color w:val="auto"/>
          <w:kern w:val="2"/>
          <w:sz w:val="24"/>
          <w:szCs w:val="24"/>
          <w:highlight w:val="none"/>
          <w:lang w:val="en-US" w:eastAsia="zh-CN" w:bidi="ar-SA"/>
        </w:rPr>
        <w:t>供货，每次配送数量以采购人的配送申请为准。成交</w:t>
      </w:r>
      <w:r>
        <w:rPr>
          <w:rFonts w:hint="eastAsia" w:ascii="宋体" w:hAnsi="宋体" w:eastAsia="宋体" w:cs="宋体"/>
          <w:color w:val="auto"/>
          <w:kern w:val="2"/>
          <w:sz w:val="24"/>
          <w:szCs w:val="24"/>
          <w:highlight w:val="none"/>
          <w:lang w:val="en-US" w:eastAsia="zh-CN" w:bidi="ar-SA"/>
        </w:rPr>
        <w:t>供应商</w:t>
      </w:r>
      <w:r>
        <w:rPr>
          <w:rFonts w:hint="eastAsia" w:ascii="宋体" w:hAnsi="宋体" w:cs="宋体"/>
          <w:color w:val="auto"/>
          <w:kern w:val="2"/>
          <w:sz w:val="24"/>
          <w:szCs w:val="24"/>
          <w:highlight w:val="none"/>
          <w:lang w:val="en-US" w:eastAsia="zh-CN" w:bidi="ar-SA"/>
        </w:rPr>
        <w:t>指定专人对接</w:t>
      </w:r>
      <w:r>
        <w:rPr>
          <w:rFonts w:hint="eastAsia" w:ascii="宋体" w:hAnsi="宋体" w:eastAsia="宋体" w:cs="宋体"/>
          <w:color w:val="auto"/>
          <w:kern w:val="2"/>
          <w:sz w:val="24"/>
          <w:szCs w:val="24"/>
          <w:highlight w:val="none"/>
          <w:lang w:val="en-US" w:eastAsia="zh-CN" w:bidi="ar-SA"/>
        </w:rPr>
        <w:t>采购人</w:t>
      </w:r>
      <w:r>
        <w:rPr>
          <w:rFonts w:hint="eastAsia" w:ascii="宋体" w:hAnsi="宋体" w:cs="宋体"/>
          <w:color w:val="auto"/>
          <w:kern w:val="2"/>
          <w:sz w:val="24"/>
          <w:szCs w:val="24"/>
          <w:highlight w:val="none"/>
          <w:lang w:val="en-US" w:eastAsia="zh-CN" w:bidi="ar-SA"/>
        </w:rPr>
        <w:t>的配送申请，并提供能每天24小时待机的联系电话，</w:t>
      </w:r>
      <w:r>
        <w:rPr>
          <w:rFonts w:hint="eastAsia" w:ascii="宋体" w:hAnsi="宋体" w:eastAsia="宋体" w:cs="宋体"/>
          <w:color w:val="auto"/>
          <w:kern w:val="2"/>
          <w:sz w:val="24"/>
          <w:szCs w:val="24"/>
          <w:highlight w:val="none"/>
          <w:lang w:val="en-US" w:eastAsia="zh-CN" w:bidi="ar-SA"/>
        </w:rPr>
        <w:t>在收到采购人通知</w:t>
      </w:r>
      <w:r>
        <w:rPr>
          <w:rFonts w:hint="eastAsia" w:ascii="宋体" w:hAnsi="宋体" w:eastAsia="宋体" w:cs="宋体"/>
          <w:b w:val="0"/>
          <w:bCs w:val="0"/>
          <w:color w:val="auto"/>
          <w:kern w:val="2"/>
          <w:sz w:val="24"/>
          <w:szCs w:val="24"/>
          <w:highlight w:val="none"/>
          <w:lang w:val="en-US" w:eastAsia="zh-CN" w:bidi="ar-SA"/>
        </w:rPr>
        <w:t>供货后</w:t>
      </w:r>
      <w:r>
        <w:rPr>
          <w:rFonts w:hint="eastAsia" w:ascii="宋体" w:hAnsi="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常规配送须在</w:t>
      </w:r>
      <w:r>
        <w:rPr>
          <w:rFonts w:hint="eastAsia" w:ascii="宋体" w:hAnsi="宋体" w:eastAsia="宋体" w:cs="宋体"/>
          <w:color w:val="auto"/>
          <w:sz w:val="24"/>
          <w:szCs w:val="24"/>
          <w:highlight w:val="none"/>
          <w:lang w:val="en-US" w:eastAsia="zh-CN"/>
        </w:rPr>
        <w:t>24小时内送货抵达</w:t>
      </w:r>
      <w:r>
        <w:rPr>
          <w:rFonts w:hint="eastAsia" w:ascii="宋体" w:hAnsi="宋体" w:eastAsia="宋体" w:cs="宋体"/>
          <w:color w:val="auto"/>
          <w:kern w:val="2"/>
          <w:sz w:val="24"/>
          <w:szCs w:val="24"/>
          <w:highlight w:val="none"/>
          <w:lang w:val="en-US" w:eastAsia="zh-CN" w:bidi="ar-SA"/>
        </w:rPr>
        <w:t>采购人</w:t>
      </w:r>
      <w:r>
        <w:rPr>
          <w:rFonts w:hint="eastAsia" w:ascii="宋体" w:hAnsi="宋体" w:eastAsia="宋体" w:cs="宋体"/>
          <w:color w:val="auto"/>
          <w:sz w:val="24"/>
          <w:szCs w:val="24"/>
          <w:highlight w:val="none"/>
          <w:lang w:val="en-US" w:eastAsia="zh-CN"/>
        </w:rPr>
        <w:t>指定地点且完成货物交接</w:t>
      </w:r>
      <w:r>
        <w:rPr>
          <w:rFonts w:hint="eastAsia" w:ascii="宋体" w:hAnsi="宋体" w:cs="宋体"/>
          <w:color w:val="auto"/>
          <w:sz w:val="24"/>
          <w:szCs w:val="24"/>
          <w:highlight w:val="none"/>
          <w:lang w:val="en-US" w:eastAsia="zh-CN"/>
        </w:rPr>
        <w:t>；</w:t>
      </w:r>
      <w:r>
        <w:rPr>
          <w:rFonts w:hint="eastAsia" w:ascii="宋体" w:hAnsi="宋体" w:eastAsia="宋体" w:cs="宋体"/>
          <w:i w:val="0"/>
          <w:iCs w:val="0"/>
          <w:color w:val="auto"/>
          <w:kern w:val="0"/>
          <w:sz w:val="22"/>
          <w:szCs w:val="22"/>
          <w:u w:val="none"/>
          <w:lang w:val="en-US" w:eastAsia="zh-CN" w:bidi="ar"/>
        </w:rPr>
        <w:t>应急货物配送，供应商须在1</w:t>
      </w:r>
      <w:r>
        <w:rPr>
          <w:rFonts w:hint="eastAsia" w:ascii="宋体" w:hAnsi="宋体" w:cs="宋体"/>
          <w:i w:val="0"/>
          <w:iCs w:val="0"/>
          <w:color w:val="auto"/>
          <w:kern w:val="0"/>
          <w:sz w:val="22"/>
          <w:szCs w:val="22"/>
          <w:u w:val="none"/>
          <w:lang w:val="en-US" w:eastAsia="zh-CN" w:bidi="ar"/>
        </w:rPr>
        <w:t>至2</w:t>
      </w:r>
      <w:r>
        <w:rPr>
          <w:rFonts w:hint="eastAsia" w:ascii="宋体" w:hAnsi="宋体" w:eastAsia="宋体" w:cs="宋体"/>
          <w:i w:val="0"/>
          <w:iCs w:val="0"/>
          <w:color w:val="auto"/>
          <w:kern w:val="0"/>
          <w:sz w:val="22"/>
          <w:szCs w:val="22"/>
          <w:u w:val="none"/>
          <w:lang w:val="en-US" w:eastAsia="zh-CN" w:bidi="ar"/>
        </w:rPr>
        <w:t>小时内送货抵达院方指定地点且完成货物交接；定制用品，供应商在院方与供应商协定时间送货抵达院方指定地点且完成货物交接；具体情况划分由医院根据实际需求通知为准。</w:t>
      </w:r>
      <w:r>
        <w:rPr>
          <w:rFonts w:hint="eastAsia" w:ascii="宋体" w:hAnsi="宋体" w:cs="宋体"/>
          <w:color w:val="auto"/>
          <w:sz w:val="24"/>
          <w:szCs w:val="24"/>
          <w:highlight w:val="none"/>
          <w:lang w:val="en-US" w:eastAsia="zh-CN"/>
        </w:rPr>
        <w:t>因本次采购的五金物资同时用于维修耗材，为保障维修及时性需提供</w:t>
      </w:r>
      <w:r>
        <w:rPr>
          <w:rFonts w:hint="eastAsia" w:ascii="宋体" w:hAnsi="宋体" w:eastAsia="宋体" w:cs="宋体"/>
          <w:color w:val="auto"/>
          <w:sz w:val="24"/>
          <w:szCs w:val="24"/>
          <w:highlight w:val="none"/>
          <w:lang w:val="en-US" w:eastAsia="zh-CN"/>
        </w:rPr>
        <w:t>应急配送</w:t>
      </w:r>
      <w:r>
        <w:rPr>
          <w:rFonts w:hint="eastAsia" w:ascii="宋体" w:hAnsi="宋体" w:cs="宋体"/>
          <w:color w:val="auto"/>
          <w:sz w:val="24"/>
          <w:szCs w:val="24"/>
          <w:highlight w:val="none"/>
          <w:lang w:val="en-US" w:eastAsia="zh-CN"/>
        </w:rPr>
        <w:t>（以采购人提出需求通知为准），白天（上午8:00至下午18:00）</w:t>
      </w:r>
      <w:r>
        <w:rPr>
          <w:rFonts w:hint="eastAsia" w:ascii="宋体" w:hAnsi="宋体" w:eastAsia="宋体" w:cs="宋体"/>
          <w:color w:val="auto"/>
          <w:sz w:val="24"/>
          <w:szCs w:val="24"/>
          <w:highlight w:val="none"/>
          <w:lang w:val="en-US" w:eastAsia="zh-CN"/>
        </w:rPr>
        <w:t>须在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小时内送货抵达</w:t>
      </w:r>
      <w:r>
        <w:rPr>
          <w:rFonts w:hint="eastAsia" w:ascii="宋体" w:hAnsi="宋体" w:eastAsia="宋体" w:cs="宋体"/>
          <w:color w:val="auto"/>
          <w:kern w:val="2"/>
          <w:sz w:val="24"/>
          <w:szCs w:val="24"/>
          <w:highlight w:val="none"/>
          <w:lang w:val="en-US" w:eastAsia="zh-CN" w:bidi="ar-SA"/>
        </w:rPr>
        <w:t>采购人</w:t>
      </w:r>
      <w:r>
        <w:rPr>
          <w:rFonts w:hint="eastAsia" w:ascii="宋体" w:hAnsi="宋体" w:eastAsia="宋体" w:cs="宋体"/>
          <w:color w:val="auto"/>
          <w:sz w:val="24"/>
          <w:szCs w:val="24"/>
          <w:highlight w:val="none"/>
          <w:lang w:val="en-US" w:eastAsia="zh-CN"/>
        </w:rPr>
        <w:t>指定地点且完成货物交接</w:t>
      </w:r>
      <w:r>
        <w:rPr>
          <w:rFonts w:hint="eastAsia" w:ascii="宋体" w:hAnsi="宋体" w:cs="宋体"/>
          <w:color w:val="auto"/>
          <w:sz w:val="24"/>
          <w:szCs w:val="24"/>
          <w:highlight w:val="none"/>
          <w:lang w:val="en-US" w:eastAsia="zh-CN"/>
        </w:rPr>
        <w:t>，夜间（18:00至第二天8:00）</w:t>
      </w:r>
      <w:r>
        <w:rPr>
          <w:rFonts w:hint="eastAsia" w:ascii="宋体" w:hAnsi="宋体" w:eastAsia="宋体" w:cs="宋体"/>
          <w:color w:val="auto"/>
          <w:sz w:val="24"/>
          <w:szCs w:val="24"/>
          <w:highlight w:val="none"/>
          <w:lang w:val="en-US" w:eastAsia="zh-CN"/>
        </w:rPr>
        <w:t>须在</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小时内送货抵达院方指定地点且完成货物交接</w:t>
      </w:r>
      <w:r>
        <w:rPr>
          <w:rFonts w:hint="eastAsia" w:ascii="宋体" w:hAnsi="宋体" w:cs="宋体"/>
          <w:color w:val="auto"/>
          <w:sz w:val="24"/>
          <w:szCs w:val="24"/>
          <w:highlight w:val="none"/>
          <w:lang w:val="en-US" w:eastAsia="zh-CN"/>
        </w:rPr>
        <w:t>，并请供应商在响应文件中提供证明材料</w:t>
      </w:r>
      <w:r>
        <w:rPr>
          <w:rFonts w:hint="eastAsia" w:ascii="宋体" w:hAnsi="宋体" w:eastAsia="宋体" w:cs="宋体"/>
          <w:color w:val="auto"/>
          <w:sz w:val="24"/>
          <w:szCs w:val="24"/>
          <w:highlight w:val="none"/>
          <w:lang w:val="en-US" w:eastAsia="zh-CN"/>
        </w:rPr>
        <w:t>。</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（二）交货地点：</w:t>
      </w:r>
      <w:r>
        <w:rPr>
          <w:rFonts w:hint="eastAsia" w:ascii="宋体" w:hAnsi="宋体" w:eastAsia="宋体" w:cs="宋体"/>
          <w:color w:val="auto"/>
          <w:sz w:val="24"/>
          <w:szCs w:val="24"/>
          <w:highlight w:val="none"/>
          <w:lang w:val="en-US" w:eastAsia="zh-CN"/>
        </w:rPr>
        <w:t>采购人指定地点</w:t>
      </w:r>
      <w:r>
        <w:rPr>
          <w:rFonts w:hint="eastAsia" w:ascii="宋体" w:hAnsi="宋体" w:eastAsia="宋体" w:cs="宋体"/>
          <w:color w:val="auto"/>
          <w:sz w:val="24"/>
          <w:szCs w:val="24"/>
          <w:highlight w:val="none"/>
          <w:lang w:val="zh-CN"/>
        </w:rPr>
        <w:t>。</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w:t>
      </w:r>
      <w:r>
        <w:rPr>
          <w:rFonts w:hint="eastAsia" w:ascii="宋体" w:hAnsi="宋体" w:eastAsia="宋体" w:cs="宋体"/>
          <w:color w:val="auto"/>
          <w:sz w:val="24"/>
          <w:szCs w:val="24"/>
          <w:highlight w:val="none"/>
          <w:lang w:val="en-US" w:eastAsia="zh-CN"/>
        </w:rPr>
        <w:t>合同期限：合同签订时生效，合同金额使用完毕</w:t>
      </w:r>
      <w:r>
        <w:rPr>
          <w:rFonts w:hint="eastAsia" w:ascii="宋体" w:hAnsi="宋体" w:eastAsia="宋体" w:cs="宋体"/>
          <w:i w:val="0"/>
          <w:iCs w:val="0"/>
          <w:color w:val="000000"/>
          <w:kern w:val="0"/>
          <w:sz w:val="22"/>
          <w:szCs w:val="22"/>
          <w:u w:val="none"/>
          <w:lang w:val="en-US" w:eastAsia="zh-CN" w:bidi="ar"/>
        </w:rPr>
        <w:t>或者医院整体搬迁后</w:t>
      </w:r>
      <w:r>
        <w:rPr>
          <w:rFonts w:hint="eastAsia" w:ascii="宋体" w:hAnsi="宋体" w:eastAsia="宋体" w:cs="宋体"/>
          <w:color w:val="auto"/>
          <w:sz w:val="24"/>
          <w:szCs w:val="24"/>
          <w:highlight w:val="none"/>
          <w:lang w:val="en-US" w:eastAsia="zh-CN"/>
        </w:rPr>
        <w:t>自动终止。</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（四）验收方式</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kern w:val="0"/>
          <w:sz w:val="24"/>
          <w:szCs w:val="24"/>
          <w:lang w:val="en-US" w:eastAsia="zh-CN" w:bidi="ar-SA"/>
        </w:rPr>
        <w:t>1、货物到达现场后，供应商应经采购人或其指定验收单位清点品名、规格、数量；检查外</w:t>
      </w:r>
      <w:r>
        <w:rPr>
          <w:rFonts w:hint="eastAsia" w:ascii="宋体" w:hAnsi="宋体" w:eastAsia="宋体" w:cs="宋体"/>
          <w:color w:val="auto"/>
          <w:sz w:val="24"/>
          <w:szCs w:val="24"/>
          <w:highlight w:val="none"/>
          <w:lang w:val="en-US" w:eastAsia="zh-CN"/>
        </w:rPr>
        <w:t>观，作出验收记录，双方签字确认。</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2、供应商应保证货物到达用户所在地完好无损，如有缺漏、损坏，由供应商负责调换、补齐或赔偿。</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3、供应商应提供完备的技术资料、装箱单和合格证等，原件备查。验收合格条件如下：</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3.1商品种类、规格、数量、技术参数以及商品品牌、生产厂家等与采购合同一致，性能指标达到规定的标准。</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3.2货物技术资料、装箱单、合格证等资料齐全。</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3.3在规定时间内完成交货并验收，并经采购人确认。</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4、供应商提供的货物未达到询价采购规定要求，且对采购人造成损失的，由供应商承担一切责任，并赔偿所造成的损失。</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5、大型或者复杂的政府采购产品项目，采购人可邀请国家认可的质量检测机构参加验收工作。</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6、采购人需要厂家对成交供应商交付的产品（包括质量、技术参数等）进行确认的，厂家应予以配合，并出具书面意见。</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7、产品包装材料归采购人所有。</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8、本项目验收标准，不得低于但不限于国家/行业技术标准：</w:t>
      </w:r>
    </w:p>
    <w:p>
      <w:pPr>
        <w:snapToGrid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采购人有权将本次采购的产品送质监机构进行破坏式检验。检验结果不符合项目参数及要求和合同约定的，采购人有权解除采购合同并退回所有货物，所产生的一切费用（含检测费）和损失由供应商自行承担，并赔偿由此违约行为给采购人造成的损失。检验结果与合同相符的，由采购人支付检测费用。</w:t>
      </w:r>
    </w:p>
    <w:p>
      <w:pPr>
        <w:snapToGrid w:val="0"/>
        <w:spacing w:line="360" w:lineRule="auto"/>
        <w:ind w:firstLine="482" w:firstLineChars="200"/>
        <w:rPr>
          <w:rFonts w:hint="eastAsia" w:ascii="宋体" w:hAnsi="宋体" w:eastAsia="宋体" w:cs="宋体"/>
          <w:b/>
          <w:bCs/>
          <w:color w:val="auto"/>
          <w:sz w:val="24"/>
          <w:szCs w:val="24"/>
          <w:highlight w:val="none"/>
        </w:rPr>
      </w:pPr>
      <w:bookmarkStart w:id="88" w:name="_Toc271054047"/>
      <w:bookmarkStart w:id="89" w:name="_Toc271808343"/>
      <w:bookmarkStart w:id="90" w:name="_Toc268626060"/>
      <w:bookmarkStart w:id="91" w:name="_Toc267320050"/>
      <w:r>
        <w:rPr>
          <w:rFonts w:hint="eastAsia" w:ascii="宋体" w:hAnsi="宋体" w:eastAsia="宋体" w:cs="宋体"/>
          <w:b/>
          <w:bCs/>
          <w:color w:val="auto"/>
          <w:sz w:val="24"/>
          <w:szCs w:val="24"/>
          <w:highlight w:val="none"/>
        </w:rPr>
        <w:t>二、质量保证</w:t>
      </w:r>
      <w:bookmarkEnd w:id="88"/>
      <w:bookmarkEnd w:id="89"/>
      <w:bookmarkEnd w:id="90"/>
      <w:bookmarkEnd w:id="91"/>
      <w:bookmarkStart w:id="92" w:name="_Toc267320051"/>
      <w:bookmarkStart w:id="93" w:name="_Toc271808344"/>
      <w:bookmarkStart w:id="94" w:name="_Toc271054048"/>
      <w:bookmarkStart w:id="95" w:name="_Toc268626061"/>
      <w:r>
        <w:rPr>
          <w:rFonts w:hint="eastAsia" w:ascii="宋体" w:hAnsi="宋体" w:eastAsia="宋体" w:cs="宋体"/>
          <w:b/>
          <w:bCs/>
          <w:color w:val="auto"/>
          <w:sz w:val="24"/>
          <w:szCs w:val="24"/>
          <w:highlight w:val="none"/>
        </w:rPr>
        <w:t>及售后服务内容：</w:t>
      </w:r>
    </w:p>
    <w:bookmarkEnd w:id="92"/>
    <w:bookmarkEnd w:id="93"/>
    <w:bookmarkEnd w:id="94"/>
    <w:bookmarkEnd w:id="95"/>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）产品质量保证期</w:t>
      </w:r>
      <w:r>
        <w:rPr>
          <w:rFonts w:hint="eastAsia" w:ascii="宋体" w:hAnsi="宋体" w:eastAsia="宋体" w:cs="宋体"/>
          <w:color w:val="auto"/>
          <w:sz w:val="24"/>
          <w:szCs w:val="24"/>
          <w:highlight w:val="none"/>
          <w:lang w:val="en-US" w:eastAsia="zh-CN"/>
        </w:rPr>
        <w:t xml:space="preserve"> </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1.投标产品质量保证期：</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年。</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2.产品属于国家规定“三包”范围的，其产品质量保证期不得低于“三包”规定。</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3.报价供应商的质量保证期承诺优于国家“三包”规定的，按供应商实际承诺执行，此承诺应当在报价文件中予以明确说明。</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.采购人需要制造商对中标人交付的产品（包括质量、技术参数等）进行确认的，制造商应予以配合，并出具书面意见。</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zh-CN"/>
        </w:rPr>
        <w:t>）售后服务内容</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1.成交供应商和制造商在质量保证期内应当为采购人提供以下技术支持和服务：</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（1）电话咨询</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成交供应商应有维修团队，提供报修、技术咨询电话，并保证在</w:t>
      </w:r>
      <w:r>
        <w:rPr>
          <w:rFonts w:hint="eastAsia" w:ascii="宋体" w:hAnsi="宋体" w:eastAsia="宋体" w:cs="宋体"/>
          <w:color w:val="auto"/>
          <w:sz w:val="24"/>
          <w:szCs w:val="24"/>
          <w:highlight w:val="none"/>
          <w:lang w:val="en-US" w:eastAsia="zh-CN"/>
        </w:rPr>
        <w:t>7X</w:t>
      </w:r>
      <w:r>
        <w:rPr>
          <w:rFonts w:hint="eastAsia" w:ascii="宋体" w:hAnsi="宋体" w:eastAsia="宋体" w:cs="宋体"/>
          <w:color w:val="auto"/>
          <w:sz w:val="24"/>
          <w:szCs w:val="24"/>
          <w:highlight w:val="none"/>
          <w:lang w:val="zh-CN"/>
        </w:rPr>
        <w:t>24小时内及时应答，解答用户在使用中遇到的问题，给予技术支持，及时为用户提出解决问题的建议。</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（2）现场响应</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采购人遇到使用及技术问题，电话咨询不能解决的，成交供应商和制造商应在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小时内提供服务响应及措施，</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zh-CN"/>
        </w:rPr>
        <w:t>小时内提供上门服务，确保产品正常工作；无法在</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lang w:val="zh-CN"/>
        </w:rPr>
        <w:t>小时内解决的，应在</w:t>
      </w:r>
      <w:r>
        <w:rPr>
          <w:rFonts w:hint="eastAsia" w:ascii="宋体" w:hAnsi="宋体" w:eastAsia="宋体" w:cs="宋体"/>
          <w:color w:val="auto"/>
          <w:sz w:val="24"/>
          <w:szCs w:val="24"/>
          <w:highlight w:val="none"/>
          <w:lang w:val="en-US" w:eastAsia="zh-CN"/>
        </w:rPr>
        <w:t>48</w:t>
      </w:r>
      <w:r>
        <w:rPr>
          <w:rFonts w:hint="eastAsia" w:ascii="宋体" w:hAnsi="宋体" w:eastAsia="宋体" w:cs="宋体"/>
          <w:color w:val="auto"/>
          <w:sz w:val="24"/>
          <w:szCs w:val="24"/>
          <w:highlight w:val="none"/>
          <w:lang w:val="zh-CN"/>
        </w:rPr>
        <w:t>小时内提供备用产品，使用户能够正常使用。</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2.质保期外服务要求</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（1）质量保证期过后，成交供应商和制造商应同样提供免费电话咨询服务，并应承诺提供产品上门维护服务。</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val="zh-CN"/>
        </w:rPr>
        <w:t>）备品备件及易损件</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成交供应商和制造商售后服务中，维修使用的备品备件及易损件应为原厂配件，未经采购人同意不得使用非原厂配件。</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val="zh-CN"/>
        </w:rPr>
        <w:t>）包装标准：按国家有关规定进行包装，因包装不当引起的损坏等责任由成交供应商承担。</w:t>
      </w:r>
    </w:p>
    <w:p>
      <w:pPr>
        <w:snapToGrid w:val="0"/>
        <w:spacing w:line="360" w:lineRule="auto"/>
        <w:ind w:firstLine="482" w:firstLineChars="200"/>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、付款方式</w:t>
      </w:r>
      <w:bookmarkStart w:id="96" w:name="_Toc271054049"/>
      <w:bookmarkStart w:id="97" w:name="_Toc267320052"/>
      <w:bookmarkStart w:id="98" w:name="_Toc268626062"/>
      <w:bookmarkStart w:id="99" w:name="_Toc271808345"/>
      <w:r>
        <w:rPr>
          <w:rFonts w:hint="eastAsia" w:ascii="宋体" w:hAnsi="宋体" w:eastAsia="宋体" w:cs="宋体"/>
          <w:color w:val="auto"/>
          <w:sz w:val="24"/>
          <w:szCs w:val="24"/>
          <w:highlight w:val="none"/>
          <w:lang w:val="zh-CN"/>
        </w:rPr>
        <w:br w:type="textWrapping"/>
      </w:r>
      <w:r>
        <w:rPr>
          <w:rFonts w:hint="eastAsia" w:ascii="宋体" w:hAnsi="宋体" w:eastAsia="宋体" w:cs="宋体"/>
          <w:color w:val="auto"/>
          <w:sz w:val="24"/>
          <w:szCs w:val="24"/>
          <w:highlight w:val="none"/>
          <w:lang w:val="en-US" w:eastAsia="zh-CN"/>
        </w:rPr>
        <w:t xml:space="preserve">    1、每次</w:t>
      </w:r>
      <w:r>
        <w:rPr>
          <w:rFonts w:hint="eastAsia" w:ascii="宋体" w:hAnsi="宋体" w:eastAsia="宋体" w:cs="宋体"/>
          <w:color w:val="auto"/>
          <w:sz w:val="24"/>
          <w:szCs w:val="24"/>
          <w:highlight w:val="none"/>
          <w:lang w:val="zh-CN"/>
        </w:rPr>
        <w:t>采购的货物验收合格后，采购人以转账方式向成交供应商支付货款。</w:t>
      </w:r>
    </w:p>
    <w:p>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2、合同签订前成交供应商向采购人缴纳合同金额</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%的履约保证金。</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3、履约保证金无息退还时间：履约保证金在所有产品供货完毕并经采购人验收合格后，无息退还；如果供应商不满足合同条款违约，则不退还履约保证金并验收不合格。</w:t>
      </w:r>
    </w:p>
    <w:p>
      <w:pPr>
        <w:snapToGrid w:val="0"/>
        <w:spacing w:line="360" w:lineRule="auto"/>
        <w:ind w:firstLine="482" w:firstLineChars="200"/>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四、违约条款</w:t>
      </w:r>
    </w:p>
    <w:p>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（一）除不可抗力和合同约定外，双方不得终止合同；</w:t>
      </w:r>
    </w:p>
    <w:p>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（二）质量和安全:产品发生质量问题或产品出现异常情况，成交供应商需承担相应一切法律责任和经济赔偿责任，</w:t>
      </w:r>
      <w:r>
        <w:rPr>
          <w:rFonts w:hint="eastAsia" w:ascii="宋体" w:hAnsi="宋体" w:cs="宋体"/>
          <w:color w:val="FF0000"/>
          <w:sz w:val="24"/>
          <w:szCs w:val="24"/>
          <w:highlight w:val="none"/>
          <w:lang w:val="en-US" w:eastAsia="zh-CN"/>
        </w:rPr>
        <w:t>经鉴定为假冒伪劣产品或第三方检测机构检测不符合采购约定的，则视为供应商违约，由</w:t>
      </w:r>
      <w:r>
        <w:rPr>
          <w:rFonts w:hint="eastAsia" w:ascii="宋体" w:hAnsi="宋体" w:eastAsia="宋体" w:cs="宋体"/>
          <w:color w:val="FF0000"/>
          <w:sz w:val="24"/>
          <w:szCs w:val="24"/>
          <w:highlight w:val="none"/>
          <w:lang w:val="en-US" w:eastAsia="zh-CN"/>
        </w:rPr>
        <w:t>成交</w:t>
      </w:r>
      <w:r>
        <w:rPr>
          <w:rFonts w:hint="eastAsia" w:ascii="宋体" w:hAnsi="宋体" w:cs="宋体"/>
          <w:color w:val="FF0000"/>
          <w:sz w:val="24"/>
          <w:szCs w:val="24"/>
          <w:highlight w:val="none"/>
          <w:lang w:val="en-US" w:eastAsia="zh-CN"/>
        </w:rPr>
        <w:t>供应商承担所有违约责任另为此</w:t>
      </w:r>
      <w:r>
        <w:rPr>
          <w:rFonts w:hint="eastAsia" w:ascii="宋体" w:hAnsi="宋体" w:eastAsia="宋体" w:cs="宋体"/>
          <w:color w:val="FF0000"/>
          <w:sz w:val="24"/>
          <w:szCs w:val="24"/>
          <w:highlight w:val="none"/>
          <w:lang w:val="en-US" w:eastAsia="zh-CN"/>
        </w:rPr>
        <w:t>承担违约金</w:t>
      </w:r>
      <w:r>
        <w:rPr>
          <w:rFonts w:hint="eastAsia" w:ascii="宋体" w:hAnsi="宋体" w:cs="宋体"/>
          <w:color w:val="0000FF"/>
          <w:sz w:val="24"/>
          <w:szCs w:val="24"/>
          <w:highlight w:val="none"/>
          <w:lang w:val="en-US" w:eastAsia="zh-CN"/>
        </w:rPr>
        <w:t>1000</w:t>
      </w:r>
      <w:r>
        <w:rPr>
          <w:rFonts w:hint="eastAsia" w:ascii="宋体" w:hAnsi="宋体" w:eastAsia="宋体" w:cs="宋体"/>
          <w:color w:val="FF0000"/>
          <w:sz w:val="24"/>
          <w:szCs w:val="24"/>
          <w:highlight w:val="none"/>
          <w:lang w:val="en-US" w:eastAsia="zh-CN"/>
        </w:rPr>
        <w:t>元</w:t>
      </w:r>
      <w:r>
        <w:rPr>
          <w:rFonts w:hint="eastAsia" w:ascii="宋体" w:hAnsi="宋体" w:cs="宋体"/>
          <w:color w:val="FF0000"/>
          <w:sz w:val="24"/>
          <w:szCs w:val="24"/>
          <w:highlight w:val="none"/>
          <w:lang w:val="en-US" w:eastAsia="zh-CN"/>
        </w:rPr>
        <w:t>，</w:t>
      </w:r>
      <w:r>
        <w:rPr>
          <w:rFonts w:hint="eastAsia" w:ascii="宋体" w:hAnsi="宋体" w:eastAsia="宋体" w:cs="宋体"/>
          <w:color w:val="FF0000"/>
          <w:sz w:val="24"/>
          <w:szCs w:val="24"/>
          <w:highlight w:val="none"/>
          <w:lang w:val="en-US" w:eastAsia="zh-CN"/>
        </w:rPr>
        <w:t>采购人有权终止合同，并没收履约保证金；</w:t>
      </w:r>
    </w:p>
    <w:p>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（三）若接到医院供货要求后未在合同约定时间内供货或者断供，</w:t>
      </w:r>
      <w:r>
        <w:rPr>
          <w:rFonts w:hint="eastAsia" w:ascii="宋体" w:hAnsi="宋体" w:cs="宋体"/>
          <w:color w:val="FF0000"/>
          <w:sz w:val="24"/>
          <w:szCs w:val="24"/>
          <w:highlight w:val="none"/>
          <w:lang w:val="en-US" w:eastAsia="zh-CN"/>
        </w:rPr>
        <w:t>采购人有权自行找第三方供应商供货</w:t>
      </w:r>
      <w:r>
        <w:rPr>
          <w:rFonts w:hint="eastAsia" w:ascii="宋体" w:hAnsi="宋体" w:eastAsia="宋体" w:cs="宋体"/>
          <w:color w:val="FF0000"/>
          <w:sz w:val="24"/>
          <w:szCs w:val="24"/>
          <w:highlight w:val="none"/>
          <w:lang w:val="en-US" w:eastAsia="zh-CN"/>
        </w:rPr>
        <w:t>，</w:t>
      </w:r>
      <w:r>
        <w:rPr>
          <w:rFonts w:hint="eastAsia" w:ascii="宋体" w:hAnsi="宋体" w:cs="宋体"/>
          <w:color w:val="FF0000"/>
          <w:sz w:val="24"/>
          <w:szCs w:val="24"/>
          <w:highlight w:val="none"/>
          <w:lang w:val="en-US" w:eastAsia="zh-CN"/>
        </w:rPr>
        <w:t>其中产生的所有费用（金额以第三方供应商提供的发票为准）作为违约金由供应商承担，</w:t>
      </w:r>
      <w:r>
        <w:rPr>
          <w:rFonts w:hint="eastAsia" w:ascii="宋体" w:hAnsi="宋体" w:eastAsia="宋体" w:cs="宋体"/>
          <w:color w:val="FF0000"/>
          <w:sz w:val="24"/>
          <w:szCs w:val="24"/>
          <w:highlight w:val="none"/>
          <w:lang w:val="en-US" w:eastAsia="zh-CN"/>
        </w:rPr>
        <w:t>达到5次及以上视为成交供应商违约，采购人有权终止合同，没收履约保证金；退货或换货未在1</w:t>
      </w:r>
      <w:r>
        <w:rPr>
          <w:rFonts w:hint="eastAsia" w:ascii="宋体" w:hAnsi="宋体" w:cs="宋体"/>
          <w:color w:val="FF0000"/>
          <w:sz w:val="24"/>
          <w:szCs w:val="24"/>
          <w:highlight w:val="none"/>
          <w:lang w:val="en-US" w:eastAsia="zh-CN"/>
        </w:rPr>
        <w:t>周</w:t>
      </w:r>
      <w:r>
        <w:rPr>
          <w:rFonts w:hint="eastAsia" w:ascii="宋体" w:hAnsi="宋体" w:eastAsia="宋体" w:cs="宋体"/>
          <w:color w:val="FF0000"/>
          <w:sz w:val="24"/>
          <w:szCs w:val="24"/>
          <w:highlight w:val="none"/>
          <w:lang w:val="en-US" w:eastAsia="zh-CN"/>
        </w:rPr>
        <w:t>内处理完成</w:t>
      </w:r>
      <w:r>
        <w:rPr>
          <w:rFonts w:hint="eastAsia" w:ascii="宋体" w:hAnsi="宋体" w:cs="宋体"/>
          <w:color w:val="FF0000"/>
          <w:sz w:val="24"/>
          <w:szCs w:val="24"/>
          <w:highlight w:val="none"/>
          <w:lang w:val="en-US" w:eastAsia="zh-CN"/>
        </w:rPr>
        <w:t>，</w:t>
      </w:r>
      <w:r>
        <w:rPr>
          <w:rFonts w:hint="eastAsia" w:ascii="宋体" w:hAnsi="宋体" w:eastAsia="宋体" w:cs="宋体"/>
          <w:color w:val="FF0000"/>
          <w:sz w:val="24"/>
          <w:szCs w:val="24"/>
          <w:highlight w:val="none"/>
          <w:lang w:val="en-US" w:eastAsia="zh-CN"/>
        </w:rPr>
        <w:t>成交供应商为此承担违约金</w:t>
      </w:r>
      <w:r>
        <w:rPr>
          <w:rFonts w:hint="eastAsia" w:ascii="宋体" w:hAnsi="宋体" w:cs="宋体"/>
          <w:color w:val="0000FF"/>
          <w:sz w:val="24"/>
          <w:szCs w:val="24"/>
          <w:highlight w:val="none"/>
          <w:lang w:val="en-US" w:eastAsia="zh-CN"/>
        </w:rPr>
        <w:t>500</w:t>
      </w:r>
      <w:r>
        <w:rPr>
          <w:rFonts w:hint="eastAsia" w:ascii="宋体" w:hAnsi="宋体" w:eastAsia="宋体" w:cs="宋体"/>
          <w:color w:val="0000FF"/>
          <w:sz w:val="24"/>
          <w:szCs w:val="24"/>
          <w:highlight w:val="none"/>
          <w:lang w:val="en-US" w:eastAsia="zh-CN"/>
        </w:rPr>
        <w:t>元/次</w:t>
      </w:r>
      <w:r>
        <w:rPr>
          <w:rFonts w:hint="eastAsia" w:ascii="宋体" w:hAnsi="宋体" w:eastAsia="宋体" w:cs="宋体"/>
          <w:color w:val="FF0000"/>
          <w:sz w:val="24"/>
          <w:szCs w:val="24"/>
          <w:highlight w:val="none"/>
          <w:lang w:val="en-US" w:eastAsia="zh-CN"/>
        </w:rPr>
        <w:t>；</w:t>
      </w:r>
    </w:p>
    <w:p>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（四）处理产品相关纠纷和投诉不积极或者无效，成交供应商为此承担违约金</w:t>
      </w:r>
      <w:r>
        <w:rPr>
          <w:rFonts w:hint="eastAsia" w:ascii="宋体" w:hAnsi="宋体" w:cs="宋体"/>
          <w:color w:val="0000FF"/>
          <w:sz w:val="24"/>
          <w:szCs w:val="24"/>
          <w:highlight w:val="none"/>
          <w:lang w:val="en-US" w:eastAsia="zh-CN"/>
        </w:rPr>
        <w:t>10</w:t>
      </w:r>
      <w:r>
        <w:rPr>
          <w:rFonts w:hint="eastAsia" w:ascii="宋体" w:hAnsi="宋体" w:eastAsia="宋体" w:cs="宋体"/>
          <w:color w:val="0000FF"/>
          <w:sz w:val="24"/>
          <w:szCs w:val="24"/>
          <w:highlight w:val="none"/>
          <w:lang w:val="en-US" w:eastAsia="zh-CN"/>
        </w:rPr>
        <w:t>00</w:t>
      </w:r>
      <w:r>
        <w:rPr>
          <w:rFonts w:hint="eastAsia" w:ascii="宋体" w:hAnsi="宋体" w:eastAsia="宋体" w:cs="宋体"/>
          <w:color w:val="FF0000"/>
          <w:sz w:val="24"/>
          <w:szCs w:val="24"/>
          <w:highlight w:val="none"/>
          <w:lang w:val="en-US" w:eastAsia="zh-CN"/>
        </w:rPr>
        <w:t>元/次；</w:t>
      </w:r>
    </w:p>
    <w:p>
      <w:pPr>
        <w:snapToGrid w:val="0"/>
        <w:spacing w:line="360" w:lineRule="auto"/>
        <w:ind w:firstLine="480" w:firstLineChars="200"/>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w:t>
      </w:r>
      <w:r>
        <w:rPr>
          <w:rFonts w:hint="eastAsia" w:ascii="宋体" w:hAnsi="宋体" w:cs="宋体"/>
          <w:color w:val="FF0000"/>
          <w:sz w:val="24"/>
          <w:szCs w:val="24"/>
          <w:highlight w:val="none"/>
          <w:lang w:val="en-US" w:eastAsia="zh-CN"/>
        </w:rPr>
        <w:t>五</w:t>
      </w:r>
      <w:r>
        <w:rPr>
          <w:rFonts w:hint="eastAsia" w:ascii="宋体" w:hAnsi="宋体" w:eastAsia="宋体" w:cs="宋体"/>
          <w:color w:val="FF0000"/>
          <w:sz w:val="24"/>
          <w:szCs w:val="24"/>
          <w:highlight w:val="none"/>
          <w:lang w:val="en-US" w:eastAsia="zh-CN"/>
        </w:rPr>
        <w:t>）所有违约金优先在结算金额中扣除。</w:t>
      </w:r>
    </w:p>
    <w:bookmarkEnd w:id="96"/>
    <w:bookmarkEnd w:id="97"/>
    <w:bookmarkEnd w:id="98"/>
    <w:bookmarkEnd w:id="99"/>
    <w:p>
      <w:pPr>
        <w:snapToGrid w:val="0"/>
        <w:spacing w:line="360" w:lineRule="auto"/>
        <w:ind w:firstLine="482" w:firstLineChars="200"/>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zh-CN"/>
        </w:rPr>
        <w:t>、知识产权</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采购人在中华人民共和国境内使用报价人提供的货物及服务时免受第三方提出的侵犯其专利权或其它知识产权的起诉。如果第三方提出侵权指控，成交人应承担由此而引起的一切法律责任和费用。</w:t>
      </w:r>
      <w:bookmarkStart w:id="100" w:name="_Toc268626063"/>
      <w:bookmarkStart w:id="101" w:name="_Toc271054050"/>
      <w:bookmarkStart w:id="102" w:name="_Toc267320053"/>
      <w:bookmarkStart w:id="103" w:name="_Toc271808346"/>
    </w:p>
    <w:bookmarkEnd w:id="100"/>
    <w:bookmarkEnd w:id="101"/>
    <w:bookmarkEnd w:id="102"/>
    <w:bookmarkEnd w:id="103"/>
    <w:p>
      <w:pPr>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、其他</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必须在报价文件中对以上条款和服务承诺明确列出，承诺内容必须达到本章及采购文件其他条款的要求。</w:t>
      </w:r>
    </w:p>
    <w:p>
      <w:pPr>
        <w:snapToGrid w:val="0"/>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zh-CN"/>
        </w:rPr>
        <w:t>）其他未尽事宜由供需双方在采购合同中详细约定。</w:t>
      </w:r>
    </w:p>
    <w:bookmarkEnd w:id="85"/>
    <w:p>
      <w:pPr>
        <w:pStyle w:val="5"/>
        <w:jc w:val="center"/>
        <w:rPr>
          <w:rStyle w:val="114"/>
          <w:rFonts w:hint="eastAsia" w:ascii="宋体" w:hAnsi="宋体" w:eastAsia="宋体" w:cs="宋体"/>
          <w:b/>
          <w:bCs/>
          <w:color w:val="auto"/>
          <w:highlight w:val="none"/>
        </w:rPr>
      </w:pPr>
      <w:r>
        <w:rPr>
          <w:rStyle w:val="114"/>
          <w:rFonts w:hint="eastAsia" w:ascii="宋体" w:hAnsi="宋体" w:eastAsia="宋体" w:cs="宋体"/>
          <w:b/>
          <w:bCs/>
          <w:color w:val="auto"/>
          <w:highlight w:val="none"/>
        </w:rPr>
        <w:br w:type="page"/>
      </w:r>
      <w:bookmarkStart w:id="104" w:name="_Toc4997"/>
      <w:r>
        <w:rPr>
          <w:rStyle w:val="114"/>
          <w:rFonts w:hint="eastAsia" w:ascii="宋体" w:hAnsi="宋体" w:eastAsia="宋体" w:cs="宋体"/>
          <w:b/>
          <w:bCs/>
          <w:color w:val="auto"/>
          <w:highlight w:val="none"/>
        </w:rPr>
        <w:t>第五篇  格式合同（样本）</w:t>
      </w:r>
      <w:bookmarkEnd w:id="104"/>
    </w:p>
    <w:p>
      <w:pPr>
        <w:pStyle w:val="253"/>
        <w:ind w:left="0"/>
        <w:rPr>
          <w:rFonts w:hint="eastAsia" w:ascii="宋体" w:hAnsi="宋体" w:cs="宋体"/>
          <w:color w:val="auto"/>
          <w:highlight w:val="none"/>
        </w:rPr>
      </w:pP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(注：成交后采购人和成交供应商应按本项目询价通知书、成交供应商的响应文件及本篇合同主要条款及格式，在规定时间内签订供货合同，所签订的合同不得对询价文件和成交供应商的响应文件作实质性修改。)</w:t>
      </w:r>
    </w:p>
    <w:p>
      <w:pPr>
        <w:spacing w:line="500" w:lineRule="exact"/>
        <w:jc w:val="center"/>
        <w:rPr>
          <w:rFonts w:ascii="仿宋" w:hAnsi="仿宋" w:eastAsia="仿宋" w:cs="仿宋"/>
          <w:b/>
          <w:color w:val="auto"/>
          <w:szCs w:val="13"/>
          <w:highlight w:val="none"/>
        </w:rPr>
      </w:pPr>
      <w:r>
        <w:rPr>
          <w:rFonts w:hint="eastAsia" w:ascii="仿宋" w:hAnsi="仿宋" w:eastAsia="仿宋" w:cs="仿宋"/>
          <w:b/>
          <w:color w:val="auto"/>
          <w:szCs w:val="13"/>
          <w:highlight w:val="none"/>
        </w:rPr>
        <w:t>采购合同</w:t>
      </w:r>
    </w:p>
    <w:p>
      <w:pPr>
        <w:spacing w:line="500" w:lineRule="exact"/>
        <w:jc w:val="center"/>
        <w:rPr>
          <w:rFonts w:ascii="仿宋" w:hAnsi="仿宋" w:eastAsia="仿宋" w:cs="仿宋"/>
          <w:color w:val="auto"/>
          <w:highlight w:val="none"/>
        </w:rPr>
      </w:pPr>
      <w:r>
        <w:rPr>
          <w:rFonts w:hint="eastAsia" w:ascii="仿宋" w:hAnsi="仿宋" w:eastAsia="仿宋" w:cs="仿宋"/>
          <w:color w:val="auto"/>
          <w:highlight w:val="none"/>
        </w:rPr>
        <w:t>（采购项目编号：     ）</w:t>
      </w:r>
    </w:p>
    <w:p>
      <w:pPr>
        <w:spacing w:line="500" w:lineRule="exact"/>
        <w:rPr>
          <w:rFonts w:ascii="仿宋" w:hAnsi="仿宋" w:eastAsia="仿宋" w:cs="仿宋"/>
          <w:color w:val="auto"/>
          <w:sz w:val="24"/>
          <w:highlight w:val="none"/>
        </w:rPr>
      </w:pP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甲方（需方）：___________________________      计价单位：____________</w:t>
      </w: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乙方（供方）：___________________________      计量单位：_____________</w:t>
      </w:r>
    </w:p>
    <w:p>
      <w:pPr>
        <w:spacing w:line="500" w:lineRule="exact"/>
        <w:rPr>
          <w:rFonts w:ascii="仿宋" w:hAnsi="仿宋" w:eastAsia="仿宋" w:cs="仿宋"/>
          <w:color w:val="auto"/>
          <w:sz w:val="24"/>
          <w:highlight w:val="none"/>
        </w:rPr>
      </w:pP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经双方协商一致，达成以下采购合同：</w:t>
      </w:r>
    </w:p>
    <w:tbl>
      <w:tblPr>
        <w:tblStyle w:val="6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名称</w:t>
            </w:r>
          </w:p>
        </w:tc>
        <w:tc>
          <w:tcPr>
            <w:tcW w:w="2529"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1298" w:type="dxa"/>
            <w:gridSpan w:val="2"/>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综合单价</w:t>
            </w:r>
          </w:p>
        </w:tc>
        <w:tc>
          <w:tcPr>
            <w:tcW w:w="1134"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1559"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服务时间</w:t>
            </w:r>
          </w:p>
        </w:tc>
        <w:tc>
          <w:tcPr>
            <w:tcW w:w="1567" w:type="dxa"/>
            <w:noWrap w:val="0"/>
            <w:vAlign w:val="center"/>
          </w:tcPr>
          <w:p>
            <w:pPr>
              <w:spacing w:line="240" w:lineRule="atLeas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ascii="仿宋" w:hAnsi="仿宋" w:eastAsia="仿宋"/>
                <w:color w:val="auto"/>
                <w:sz w:val="24"/>
                <w:szCs w:val="24"/>
                <w:highlight w:val="none"/>
              </w:rPr>
            </w:pPr>
          </w:p>
        </w:tc>
        <w:tc>
          <w:tcPr>
            <w:tcW w:w="2529" w:type="dxa"/>
            <w:noWrap w:val="0"/>
            <w:vAlign w:val="center"/>
          </w:tcPr>
          <w:p>
            <w:pPr>
              <w:spacing w:line="240" w:lineRule="atLeast"/>
              <w:jc w:val="center"/>
              <w:rPr>
                <w:rFonts w:ascii="仿宋" w:hAnsi="仿宋" w:eastAsia="仿宋"/>
                <w:color w:val="auto"/>
                <w:sz w:val="24"/>
                <w:szCs w:val="24"/>
                <w:highlight w:val="none"/>
              </w:rPr>
            </w:pPr>
          </w:p>
        </w:tc>
        <w:tc>
          <w:tcPr>
            <w:tcW w:w="1298" w:type="dxa"/>
            <w:gridSpan w:val="2"/>
            <w:noWrap w:val="0"/>
            <w:vAlign w:val="center"/>
          </w:tcPr>
          <w:p>
            <w:pPr>
              <w:spacing w:line="240" w:lineRule="atLeast"/>
              <w:jc w:val="center"/>
              <w:rPr>
                <w:rFonts w:ascii="仿宋" w:hAnsi="仿宋" w:eastAsia="仿宋"/>
                <w:color w:val="auto"/>
                <w:sz w:val="24"/>
                <w:szCs w:val="24"/>
                <w:highlight w:val="none"/>
              </w:rPr>
            </w:pPr>
          </w:p>
        </w:tc>
        <w:tc>
          <w:tcPr>
            <w:tcW w:w="1134" w:type="dxa"/>
            <w:noWrap w:val="0"/>
            <w:vAlign w:val="center"/>
          </w:tcPr>
          <w:p>
            <w:pPr>
              <w:spacing w:line="240" w:lineRule="atLeast"/>
              <w:jc w:val="center"/>
              <w:rPr>
                <w:rFonts w:ascii="仿宋" w:hAnsi="仿宋" w:eastAsia="仿宋"/>
                <w:color w:val="auto"/>
                <w:sz w:val="24"/>
                <w:szCs w:val="24"/>
                <w:highlight w:val="none"/>
              </w:rPr>
            </w:pPr>
          </w:p>
        </w:tc>
        <w:tc>
          <w:tcPr>
            <w:tcW w:w="1559" w:type="dxa"/>
            <w:noWrap w:val="0"/>
            <w:vAlign w:val="center"/>
          </w:tcPr>
          <w:p>
            <w:pPr>
              <w:spacing w:line="240" w:lineRule="atLeast"/>
              <w:jc w:val="center"/>
              <w:rPr>
                <w:rFonts w:ascii="仿宋" w:hAnsi="仿宋" w:eastAsia="仿宋"/>
                <w:color w:val="auto"/>
                <w:sz w:val="24"/>
                <w:szCs w:val="24"/>
                <w:highlight w:val="none"/>
              </w:rPr>
            </w:pPr>
          </w:p>
        </w:tc>
        <w:tc>
          <w:tcPr>
            <w:tcW w:w="1567" w:type="dxa"/>
            <w:noWrap w:val="0"/>
            <w:vAlign w:val="center"/>
          </w:tcPr>
          <w:p>
            <w:pPr>
              <w:spacing w:line="240" w:lineRule="atLeast"/>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noWrap w:val="0"/>
            <w:vAlign w:val="center"/>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一、质量要求和技术标准。供方须根据需方要求及本竞采文件规定的国家相关标准进行服务，服务承诺如下：</w:t>
            </w:r>
          </w:p>
          <w:p>
            <w:pPr>
              <w:snapToGrid w:val="0"/>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（一）质量要求</w:t>
            </w:r>
          </w:p>
          <w:p>
            <w:pPr>
              <w:snapToGrid w:val="0"/>
              <w:spacing w:line="40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二、执行标准：</w:t>
            </w:r>
          </w:p>
          <w:p>
            <w:pPr>
              <w:spacing w:line="240" w:lineRule="atLeast"/>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三、验收标准、方法：</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四、付款方式：</w:t>
            </w:r>
          </w:p>
          <w:p>
            <w:pPr>
              <w:pStyle w:val="34"/>
              <w:spacing w:line="240" w:lineRule="atLeast"/>
              <w:ind w:left="2240"/>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五、违约责任：</w:t>
            </w:r>
          </w:p>
          <w:p>
            <w:pPr>
              <w:spacing w:line="240" w:lineRule="atLeast"/>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六、其他约定事项：</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1.竞采文件及其补遗文件、响应文件和承诺是本合同不可分割的部分。</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2.本合同如发生争议由双方协商解决，协商不成向需方所在人民法院提请诉讼。</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3.本合同一式__份， 需方__份，供方__份，招标代理机构</w:t>
            </w:r>
            <w:r>
              <w:rPr>
                <w:rFonts w:hint="eastAsia" w:ascii="仿宋" w:hAnsi="仿宋" w:eastAsia="仿宋"/>
                <w:color w:val="auto"/>
                <w:sz w:val="24"/>
                <w:szCs w:val="24"/>
                <w:highlight w:val="none"/>
                <w:u w:val="single"/>
              </w:rPr>
              <w:t>1</w:t>
            </w:r>
            <w:r>
              <w:rPr>
                <w:rFonts w:hint="eastAsia" w:ascii="仿宋" w:hAnsi="仿宋" w:eastAsia="仿宋"/>
                <w:color w:val="auto"/>
                <w:sz w:val="24"/>
                <w:szCs w:val="24"/>
                <w:highlight w:val="none"/>
              </w:rPr>
              <w:t>份，具备同等法律效力。</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需方：</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地址：</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授权代表：</w:t>
            </w:r>
          </w:p>
        </w:tc>
        <w:tc>
          <w:tcPr>
            <w:tcW w:w="5125" w:type="dxa"/>
            <w:gridSpan w:val="5"/>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供方：</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地址：</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电话：</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传真：</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开户银行：</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账号：</w:t>
            </w:r>
          </w:p>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授权代表：</w:t>
            </w:r>
          </w:p>
          <w:p>
            <w:pPr>
              <w:widowControl/>
              <w:spacing w:line="240" w:lineRule="atLeast"/>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pPr>
              <w:spacing w:line="240" w:lineRule="atLeast"/>
              <w:rPr>
                <w:rFonts w:ascii="仿宋" w:hAnsi="仿宋" w:eastAsia="仿宋"/>
                <w:color w:val="auto"/>
                <w:sz w:val="24"/>
                <w:szCs w:val="24"/>
                <w:highlight w:val="none"/>
              </w:rPr>
            </w:pPr>
            <w:r>
              <w:rPr>
                <w:rFonts w:hint="eastAsia" w:ascii="仿宋" w:hAnsi="仿宋" w:eastAsia="仿宋"/>
                <w:color w:val="auto"/>
                <w:sz w:val="24"/>
                <w:szCs w:val="24"/>
                <w:highlight w:val="none"/>
              </w:rPr>
              <w:t>备注：</w:t>
            </w:r>
          </w:p>
          <w:p>
            <w:pPr>
              <w:spacing w:line="240" w:lineRule="atLeast"/>
              <w:rPr>
                <w:rFonts w:ascii="仿宋" w:hAnsi="仿宋" w:eastAsia="仿宋"/>
                <w:color w:val="auto"/>
                <w:sz w:val="24"/>
                <w:szCs w:val="24"/>
                <w:highlight w:val="none"/>
              </w:rPr>
            </w:pPr>
          </w:p>
          <w:p>
            <w:pPr>
              <w:spacing w:line="240" w:lineRule="atLeast"/>
              <w:rPr>
                <w:rFonts w:ascii="仿宋" w:hAnsi="仿宋" w:eastAsia="仿宋"/>
                <w:color w:val="auto"/>
                <w:sz w:val="24"/>
                <w:szCs w:val="24"/>
                <w:highlight w:val="none"/>
              </w:rPr>
            </w:pPr>
          </w:p>
        </w:tc>
      </w:tr>
    </w:tbl>
    <w:p>
      <w:pPr>
        <w:spacing w:line="500" w:lineRule="exact"/>
        <w:rPr>
          <w:rFonts w:ascii="方正仿宋_GBK" w:eastAsia="仿宋"/>
          <w:color w:val="auto"/>
          <w:highlight w:val="none"/>
        </w:rPr>
        <w:sectPr>
          <w:headerReference r:id="rId8" w:type="default"/>
          <w:footerReference r:id="rId9" w:type="default"/>
          <w:pgSz w:w="11907" w:h="16840"/>
          <w:pgMar w:top="1134" w:right="1191" w:bottom="1134" w:left="1304" w:header="680" w:footer="992" w:gutter="0"/>
          <w:pgNumType w:fmt="decimal"/>
          <w:cols w:space="720" w:num="1"/>
          <w:docGrid w:linePitch="312" w:charSpace="0"/>
        </w:sectPr>
      </w:pPr>
      <w:r>
        <w:rPr>
          <w:rFonts w:hint="eastAsia" w:ascii="仿宋" w:hAnsi="仿宋" w:eastAsia="仿宋" w:cs="仿宋"/>
          <w:color w:val="auto"/>
          <w:sz w:val="24"/>
          <w:szCs w:val="22"/>
          <w:highlight w:val="none"/>
        </w:rPr>
        <w:t>签约时间：           年   月   日      签约地点</w:t>
      </w:r>
    </w:p>
    <w:p>
      <w:pPr>
        <w:pStyle w:val="5"/>
        <w:spacing w:line="360" w:lineRule="auto"/>
        <w:jc w:val="center"/>
        <w:rPr>
          <w:rFonts w:hint="eastAsia" w:ascii="宋体" w:hAnsi="宋体" w:eastAsia="宋体" w:cs="宋体"/>
          <w:b w:val="0"/>
          <w:color w:val="auto"/>
          <w:highlight w:val="none"/>
        </w:rPr>
      </w:pPr>
      <w:bookmarkStart w:id="105" w:name="_Toc2024"/>
      <w:r>
        <w:rPr>
          <w:rFonts w:hint="eastAsia" w:ascii="宋体" w:hAnsi="宋体" w:eastAsia="宋体" w:cs="宋体"/>
          <w:bCs w:val="0"/>
          <w:color w:val="auto"/>
          <w:highlight w:val="none"/>
        </w:rPr>
        <w:t>第六篇  响应文件格式要求</w:t>
      </w:r>
      <w:bookmarkEnd w:id="86"/>
      <w:bookmarkEnd w:id="87"/>
      <w:bookmarkEnd w:id="105"/>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一、经济部分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二、技术部分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（一）技术应答</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（二）技术响应偏离表</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三、商务部分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（一）服务要求响应情况：交货时间、交货地点、质量保证期、售后服务条款等。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（一）商务响应偏离表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（二）其它优惠承诺</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四、资格条件及其他</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（一）营业执照（副本）或事业单位法人证书（副本）复印件</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（四）书面声明（格式）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（五）特定资格条件（自附）</w:t>
      </w:r>
    </w:p>
    <w:p>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五、其他应提供的资料</w:t>
      </w:r>
    </w:p>
    <w:p>
      <w:pPr>
        <w:spacing w:line="360" w:lineRule="auto"/>
        <w:ind w:firstLine="480" w:firstLineChars="200"/>
        <w:rPr>
          <w:rFonts w:hint="eastAsia" w:ascii="宋体" w:hAnsi="宋体" w:cs="宋体"/>
          <w:color w:val="auto"/>
          <w:sz w:val="24"/>
          <w:szCs w:val="24"/>
          <w:highlight w:val="none"/>
          <w:bdr w:val="single" w:color="auto" w:sz="4" w:space="0"/>
        </w:rPr>
        <w:sectPr>
          <w:headerReference r:id="rId10" w:type="default"/>
          <w:footerReference r:id="rId11" w:type="default"/>
          <w:pgSz w:w="11907" w:h="16840"/>
          <w:pgMar w:top="1134" w:right="1191" w:bottom="866" w:left="1304" w:header="851" w:footer="992" w:gutter="0"/>
          <w:pgNumType w:fmt="decimal"/>
          <w:cols w:space="720" w:num="1"/>
        </w:sectPr>
      </w:pPr>
      <w:r>
        <w:rPr>
          <w:rFonts w:hint="eastAsia" w:ascii="宋体" w:hAnsi="宋体" w:cs="宋体"/>
          <w:color w:val="auto"/>
          <w:sz w:val="24"/>
          <w:szCs w:val="24"/>
          <w:highlight w:val="none"/>
        </w:rPr>
        <w:t>（一）其他与项目有关的资料（自附）</w:t>
      </w:r>
    </w:p>
    <w:p>
      <w:pPr>
        <w:pStyle w:val="6"/>
        <w:spacing w:before="0" w:after="0" w:line="360" w:lineRule="auto"/>
        <w:rPr>
          <w:rFonts w:hint="eastAsia" w:ascii="宋体" w:hAnsi="宋体" w:cs="宋体"/>
          <w:color w:val="auto"/>
          <w:sz w:val="24"/>
          <w:szCs w:val="24"/>
          <w:highlight w:val="none"/>
        </w:rPr>
      </w:pPr>
      <w:bookmarkStart w:id="106" w:name="_Toc487204797"/>
      <w:bookmarkStart w:id="107" w:name="_Toc17444"/>
      <w:bookmarkStart w:id="108" w:name="_Toc486608277"/>
      <w:bookmarkStart w:id="109" w:name="_Toc14854"/>
      <w:bookmarkStart w:id="110" w:name="_Toc486585240"/>
      <w:r>
        <w:rPr>
          <w:rFonts w:hint="eastAsia" w:ascii="宋体" w:hAnsi="宋体" w:cs="宋体"/>
          <w:color w:val="auto"/>
          <w:sz w:val="24"/>
          <w:szCs w:val="24"/>
          <w:highlight w:val="none"/>
        </w:rPr>
        <w:t>一、经济部分</w:t>
      </w:r>
      <w:bookmarkEnd w:id="106"/>
      <w:bookmarkEnd w:id="107"/>
      <w:bookmarkEnd w:id="108"/>
      <w:bookmarkEnd w:id="109"/>
      <w:bookmarkEnd w:id="110"/>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（一）报价函</w:t>
      </w:r>
    </w:p>
    <w:p>
      <w:pPr>
        <w:tabs>
          <w:tab w:val="left" w:pos="6300"/>
        </w:tabs>
        <w:snapToGrid w:val="0"/>
        <w:spacing w:line="360" w:lineRule="auto"/>
        <w:ind w:firstLine="480" w:firstLineChars="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报价函</w:t>
      </w:r>
    </w:p>
    <w:p>
      <w:pPr>
        <w:tabs>
          <w:tab w:val="left" w:pos="6300"/>
        </w:tabs>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（采购人）</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我方收到____________________________（询价项目名称）的询价通知书，经详细研究，决定参加该项目的询价。</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1.愿意按照询价通知书中的一切要求，提供本项目的交货及技术服务，报价为人民币大写：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2.我方现提交的响应文件为：响应文件电子文档</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3.我方承诺：本次询价的有效期为90天。</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4.我方完全理解和接受贵方询价通知书的一切规定和要求及询价评审办法。</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5.在整个询价过程中，我方若有违规行为，接受按照《中华人民共和国政府采购法》和《询价通知书》之规定给予惩罚。</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6.我方若成为成交供应商，将按照最终询价结果签订合同，并且严格履行合同义务。本承诺函将成为合同不可分割的一部分，与合同具有同等的法律效力。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7.我方同意按询价通知书规定，交纳询价通知书要求的保证金。如果我方成为成交供应商，保证在接到成交通知书后，向采购代理机构交纳询价通知书规定的采购代理服务费。</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8.我方未为采购项目提供整体设计、规范编制或者项目管理、监理、检测等服务。</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电话：          传真：</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网址：          邮编：</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p>
      <w:pPr>
        <w:snapToGrid w:val="0"/>
        <w:spacing w:line="360" w:lineRule="auto"/>
        <w:ind w:firstLine="480" w:firstLineChars="2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pStyle w:val="3"/>
        <w:rPr>
          <w:rFonts w:hint="eastAsia" w:ascii="宋体" w:hAnsi="宋体" w:cs="宋体"/>
          <w:color w:val="auto"/>
          <w:sz w:val="24"/>
          <w:szCs w:val="24"/>
          <w:highlight w:val="none"/>
        </w:rPr>
      </w:pPr>
    </w:p>
    <w:p>
      <w:pPr>
        <w:pStyle w:val="59"/>
        <w:rPr>
          <w:rFonts w:hint="eastAsia" w:ascii="宋体" w:hAnsi="宋体" w:cs="宋体"/>
          <w:color w:val="auto"/>
          <w:sz w:val="24"/>
          <w:szCs w:val="24"/>
          <w:highlight w:val="none"/>
        </w:rPr>
      </w:pPr>
    </w:p>
    <w:p>
      <w:pPr>
        <w:rPr>
          <w:rFonts w:hint="eastAsia" w:ascii="宋体" w:hAnsi="宋体" w:cs="宋体"/>
          <w:color w:val="auto"/>
          <w:sz w:val="24"/>
          <w:szCs w:val="24"/>
          <w:highlight w:val="none"/>
        </w:rPr>
      </w:pPr>
    </w:p>
    <w:p>
      <w:pPr>
        <w:pStyle w:val="3"/>
        <w:rPr>
          <w:rFonts w:hint="eastAsia" w:ascii="宋体" w:hAnsi="宋体" w:cs="宋体"/>
          <w:color w:val="auto"/>
          <w:sz w:val="24"/>
          <w:szCs w:val="24"/>
          <w:highlight w:val="none"/>
        </w:rPr>
      </w:pPr>
    </w:p>
    <w:p>
      <w:pPr>
        <w:pStyle w:val="6"/>
        <w:spacing w:before="0" w:after="0" w:line="360" w:lineRule="auto"/>
        <w:rPr>
          <w:rFonts w:hint="eastAsia" w:ascii="宋体" w:hAnsi="宋体" w:cs="宋体"/>
          <w:color w:val="auto"/>
          <w:sz w:val="24"/>
          <w:szCs w:val="24"/>
          <w:highlight w:val="none"/>
        </w:rPr>
      </w:pPr>
      <w:bookmarkStart w:id="111" w:name="_Toc487204798"/>
      <w:bookmarkStart w:id="112" w:name="_Toc486608278"/>
      <w:bookmarkStart w:id="113" w:name="_Toc486585241"/>
      <w:bookmarkStart w:id="114" w:name="_Toc7284"/>
      <w:bookmarkStart w:id="115" w:name="_Toc3192"/>
      <w:r>
        <w:rPr>
          <w:rFonts w:hint="eastAsia" w:ascii="宋体" w:hAnsi="宋体" w:cs="宋体"/>
          <w:color w:val="auto"/>
          <w:sz w:val="24"/>
          <w:szCs w:val="24"/>
          <w:highlight w:val="none"/>
        </w:rPr>
        <w:t>二、技术部分</w:t>
      </w:r>
      <w:bookmarkEnd w:id="111"/>
      <w:bookmarkEnd w:id="112"/>
      <w:bookmarkEnd w:id="113"/>
      <w:bookmarkEnd w:id="114"/>
      <w:bookmarkEnd w:id="115"/>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（一）技术应答（格式自拟）</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（二）技术响应偏离表</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项目名称：</w:t>
      </w:r>
    </w:p>
    <w:tbl>
      <w:tblPr>
        <w:tblStyle w:val="60"/>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tabs>
                <w:tab w:val="left" w:pos="6300"/>
              </w:tabs>
              <w:snapToGrid w:val="0"/>
              <w:spacing w:line="500" w:lineRule="exact"/>
              <w:rPr>
                <w:rFonts w:hint="eastAsia" w:ascii="宋体" w:hAnsi="宋体" w:cs="宋体"/>
                <w:color w:val="auto"/>
                <w:sz w:val="24"/>
                <w:highlight w:val="none"/>
              </w:rPr>
            </w:pPr>
            <w:r>
              <w:rPr>
                <w:rFonts w:hint="eastAsia" w:ascii="宋体" w:hAnsi="宋体" w:cs="宋体"/>
                <w:color w:val="auto"/>
                <w:sz w:val="24"/>
                <w:highlight w:val="none"/>
              </w:rPr>
              <w:t>序号</w:t>
            </w:r>
          </w:p>
        </w:tc>
        <w:tc>
          <w:tcPr>
            <w:tcW w:w="2658" w:type="dxa"/>
            <w:noWrap w:val="0"/>
            <w:vAlign w:val="center"/>
          </w:tcPr>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采购需求</w:t>
            </w:r>
          </w:p>
        </w:tc>
        <w:tc>
          <w:tcPr>
            <w:tcW w:w="2759" w:type="dxa"/>
            <w:noWrap w:val="0"/>
            <w:vAlign w:val="center"/>
          </w:tcPr>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响应情况</w:t>
            </w:r>
          </w:p>
        </w:tc>
        <w:tc>
          <w:tcPr>
            <w:tcW w:w="2067" w:type="dxa"/>
            <w:noWrap w:val="0"/>
            <w:vAlign w:val="center"/>
          </w:tcPr>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658"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759"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c>
          <w:tcPr>
            <w:tcW w:w="2067" w:type="dxa"/>
            <w:noWrap w:val="0"/>
            <w:vAlign w:val="center"/>
          </w:tcPr>
          <w:p>
            <w:pPr>
              <w:tabs>
                <w:tab w:val="left" w:pos="6300"/>
              </w:tabs>
              <w:snapToGrid w:val="0"/>
              <w:spacing w:line="500" w:lineRule="exact"/>
              <w:jc w:val="center"/>
              <w:outlineLvl w:val="0"/>
              <w:rPr>
                <w:rFonts w:hint="eastAsia" w:ascii="宋体" w:hAnsi="宋体" w:cs="宋体"/>
                <w:color w:val="auto"/>
                <w:sz w:val="21"/>
                <w:szCs w:val="21"/>
                <w:highlight w:val="none"/>
              </w:rPr>
            </w:pPr>
          </w:p>
        </w:tc>
      </w:tr>
    </w:tbl>
    <w:p>
      <w:pPr>
        <w:spacing w:line="50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rPr>
        <w:t>供应商：                                      法定代表人授权代表：</w:t>
      </w:r>
    </w:p>
    <w:p>
      <w:pPr>
        <w:spacing w:line="500" w:lineRule="exact"/>
        <w:rPr>
          <w:rFonts w:hint="eastAsia" w:ascii="宋体" w:hAnsi="宋体" w:cs="宋体"/>
          <w:color w:val="auto"/>
          <w:sz w:val="24"/>
          <w:highlight w:val="none"/>
        </w:rPr>
      </w:pPr>
    </w:p>
    <w:p>
      <w:pPr>
        <w:spacing w:line="50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（供应商公章）                               （签字或盖章）</w:t>
      </w:r>
    </w:p>
    <w:p>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.本表即为对本项目“第三篇  询价项目技术需求”中所列技术要求进行比较和响应；</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2.该表必须按照询价文件要求逐条如实填写，根据响应情况在“差异说明”项填写正偏离或负偏离及原因，完全符合的填写“无差异”；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3.该表可扩展；</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4.可附相关技术支撑材料。（格式自定）</w:t>
      </w:r>
    </w:p>
    <w:p>
      <w:pPr>
        <w:pStyle w:val="6"/>
        <w:spacing w:before="0" w:after="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16" w:name="_Toc8428"/>
      <w:bookmarkStart w:id="117" w:name="_Toc17029"/>
      <w:bookmarkStart w:id="118" w:name="_Toc487204799"/>
      <w:bookmarkStart w:id="119" w:name="_Toc486608279"/>
      <w:bookmarkStart w:id="120" w:name="_Toc486585242"/>
      <w:r>
        <w:rPr>
          <w:rFonts w:hint="eastAsia" w:ascii="宋体" w:hAnsi="宋体" w:cs="宋体"/>
          <w:color w:val="auto"/>
          <w:sz w:val="24"/>
          <w:szCs w:val="24"/>
          <w:highlight w:val="none"/>
        </w:rPr>
        <w:t>三、商务部分</w:t>
      </w:r>
      <w:bookmarkEnd w:id="116"/>
      <w:bookmarkEnd w:id="117"/>
      <w:bookmarkEnd w:id="118"/>
      <w:bookmarkEnd w:id="119"/>
      <w:bookmarkEnd w:id="120"/>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（一）按照商务要求进行响应，包括：交货时间、交货地点、质量保证等。</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（二）商务响应偏离表</w:t>
      </w:r>
    </w:p>
    <w:p>
      <w:pPr>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商务响应偏离表</w:t>
      </w:r>
    </w:p>
    <w:p>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对于询价通知书的商务要求，如有任何偏离请如实填写下表：</w:t>
      </w:r>
    </w:p>
    <w:tbl>
      <w:tblPr>
        <w:tblStyle w:val="60"/>
        <w:tblpPr w:leftFromText="180" w:rightFromText="180" w:vertAnchor="text" w:horzAnchor="page" w:tblpX="1372" w:tblpY="481"/>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3179"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询价项目需求</w:t>
            </w:r>
          </w:p>
        </w:tc>
        <w:tc>
          <w:tcPr>
            <w:tcW w:w="2434"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响应情况</w:t>
            </w:r>
          </w:p>
        </w:tc>
        <w:tc>
          <w:tcPr>
            <w:tcW w:w="2355"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3179"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434"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c>
          <w:tcPr>
            <w:tcW w:w="2355" w:type="dxa"/>
            <w:noWrap w:val="0"/>
            <w:vAlign w:val="center"/>
          </w:tcPr>
          <w:p>
            <w:pPr>
              <w:tabs>
                <w:tab w:val="left" w:pos="6300"/>
              </w:tabs>
              <w:snapToGrid w:val="0"/>
              <w:spacing w:line="360" w:lineRule="auto"/>
              <w:jc w:val="center"/>
              <w:outlineLvl w:val="0"/>
              <w:rPr>
                <w:rFonts w:hint="eastAsia" w:ascii="宋体" w:hAnsi="宋体" w:cs="宋体"/>
                <w:color w:val="auto"/>
                <w:sz w:val="21"/>
                <w:szCs w:val="24"/>
                <w:highlight w:val="none"/>
              </w:rPr>
            </w:pPr>
          </w:p>
        </w:tc>
      </w:tr>
    </w:tbl>
    <w:p>
      <w:pPr>
        <w:snapToGrid w:val="0"/>
        <w:spacing w:line="360" w:lineRule="auto"/>
        <w:rPr>
          <w:rFonts w:hint="eastAsia" w:ascii="宋体" w:hAnsi="宋体" w:cs="宋体"/>
          <w:color w:val="auto"/>
          <w:sz w:val="24"/>
          <w:szCs w:val="24"/>
          <w:highlight w:val="none"/>
        </w:rPr>
      </w:pPr>
    </w:p>
    <w:p>
      <w:pPr>
        <w:spacing w:line="50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rPr>
        <w:t>供应商：                                      法定代表人授权代表：</w:t>
      </w:r>
    </w:p>
    <w:p>
      <w:pPr>
        <w:spacing w:line="50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（供应商公章）                                 （签字或盖章）</w:t>
      </w:r>
    </w:p>
    <w:p>
      <w:pPr>
        <w:tabs>
          <w:tab w:val="left" w:pos="6300"/>
        </w:tabs>
        <w:snapToGrid w:val="0"/>
        <w:spacing w:line="500" w:lineRule="exact"/>
        <w:ind w:firstLine="570"/>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pPr>
        <w:tabs>
          <w:tab w:val="left" w:pos="6300"/>
        </w:tabs>
        <w:snapToGrid w:val="0"/>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1</w:t>
      </w:r>
      <w:r>
        <w:rPr>
          <w:rFonts w:hint="eastAsia" w:ascii="宋体" w:hAnsi="宋体" w:cs="宋体"/>
          <w:color w:val="auto"/>
          <w:sz w:val="24"/>
          <w:highlight w:val="none"/>
        </w:rPr>
        <w:t>.本表即为对本项目“第四篇 询价项目商务需求”中所列服务要求进行比较和响应；</w:t>
      </w:r>
    </w:p>
    <w:p>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2.该表必须按照询价要求逐条如实填写，根据响应情况在“差异说明”项填写正偏离或负偏离及原因，完全符合的填写“无差异”；</w:t>
      </w:r>
    </w:p>
    <w:p>
      <w:pPr>
        <w:tabs>
          <w:tab w:val="left" w:pos="6300"/>
        </w:tabs>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3.该表可扩展；</w:t>
      </w:r>
    </w:p>
    <w:p>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（三）其它优惠承诺（格式自定）</w:t>
      </w:r>
    </w:p>
    <w:p>
      <w:pPr>
        <w:spacing w:line="3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pPr>
        <w:pStyle w:val="2"/>
        <w:rPr>
          <w:rFonts w:hint="eastAsia" w:ascii="宋体" w:hAnsi="宋体" w:cs="宋体"/>
          <w:color w:val="auto"/>
          <w:highlight w:val="none"/>
        </w:rPr>
      </w:pPr>
    </w:p>
    <w:p>
      <w:pPr>
        <w:pStyle w:val="6"/>
        <w:spacing w:before="0" w:after="0" w:line="360" w:lineRule="auto"/>
        <w:rPr>
          <w:rFonts w:hint="eastAsia" w:ascii="宋体" w:hAnsi="宋体" w:cs="宋体"/>
          <w:color w:val="auto"/>
          <w:sz w:val="24"/>
          <w:szCs w:val="24"/>
          <w:highlight w:val="none"/>
        </w:rPr>
      </w:pPr>
      <w:bookmarkStart w:id="121" w:name="_Toc3579"/>
      <w:bookmarkStart w:id="122" w:name="_Toc486608280"/>
      <w:bookmarkStart w:id="123" w:name="_Toc486585243"/>
      <w:bookmarkStart w:id="124" w:name="_Toc23557"/>
      <w:bookmarkStart w:id="125" w:name="_Toc487204800"/>
      <w:bookmarkStart w:id="126" w:name="_Toc8290"/>
      <w:r>
        <w:rPr>
          <w:rFonts w:hint="eastAsia" w:ascii="宋体" w:hAnsi="宋体" w:cs="宋体"/>
          <w:color w:val="auto"/>
          <w:sz w:val="24"/>
          <w:szCs w:val="24"/>
          <w:highlight w:val="none"/>
        </w:rPr>
        <w:t>四、资格条件及其他</w:t>
      </w:r>
      <w:bookmarkEnd w:id="121"/>
      <w:bookmarkEnd w:id="122"/>
      <w:bookmarkEnd w:id="123"/>
      <w:bookmarkEnd w:id="124"/>
      <w:bookmarkEnd w:id="125"/>
      <w:bookmarkEnd w:id="126"/>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（二）法定代表人身份证明书（格式）</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（采购人）</w:t>
      </w:r>
      <w:r>
        <w:rPr>
          <w:rFonts w:hint="eastAsia" w:ascii="宋体" w:hAnsi="宋体" w:cs="宋体"/>
          <w:color w:val="auto"/>
          <w:sz w:val="24"/>
          <w:szCs w:val="24"/>
          <w:highlight w:val="none"/>
        </w:rPr>
        <w:t>：</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（法定代表人姓名）</w:t>
      </w:r>
      <w:r>
        <w:rPr>
          <w:rFonts w:hint="eastAsia" w:ascii="宋体" w:hAnsi="宋体" w:cs="宋体"/>
          <w:color w:val="auto"/>
          <w:sz w:val="24"/>
          <w:szCs w:val="24"/>
          <w:highlight w:val="none"/>
        </w:rPr>
        <w:t>在</w:t>
      </w: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任</w:t>
      </w:r>
      <w:r>
        <w:rPr>
          <w:rFonts w:hint="eastAsia" w:ascii="宋体" w:hAnsi="宋体" w:cs="宋体"/>
          <w:color w:val="auto"/>
          <w:sz w:val="24"/>
          <w:szCs w:val="24"/>
          <w:highlight w:val="none"/>
          <w:u w:val="single"/>
        </w:rPr>
        <w:t>（职务名称）</w:t>
      </w:r>
      <w:r>
        <w:rPr>
          <w:rFonts w:hint="eastAsia" w:ascii="宋体" w:hAnsi="宋体" w:cs="宋体"/>
          <w:color w:val="auto"/>
          <w:sz w:val="24"/>
          <w:szCs w:val="24"/>
          <w:highlight w:val="none"/>
        </w:rPr>
        <w:t>职务，是</w:t>
      </w: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的法定代表人。</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（附：法定代表人身份证正反面复印件）</w:t>
      </w: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80" w:lineRule="exact"/>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br w:type="column"/>
      </w:r>
      <w:r>
        <w:rPr>
          <w:rFonts w:hint="eastAsia" w:ascii="宋体" w:hAnsi="宋体" w:cs="宋体"/>
          <w:color w:val="auto"/>
          <w:sz w:val="24"/>
          <w:szCs w:val="24"/>
          <w:highlight w:val="none"/>
        </w:rPr>
        <w:t>（三）法定代表人授权委托书（格式）</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（采购人）</w:t>
      </w:r>
      <w:r>
        <w:rPr>
          <w:rFonts w:hint="eastAsia" w:ascii="宋体" w:hAnsi="宋体" w:cs="宋体"/>
          <w:color w:val="auto"/>
          <w:sz w:val="24"/>
          <w:szCs w:val="24"/>
          <w:highlight w:val="none"/>
        </w:rPr>
        <w:t>：</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（供应商法定代表人名称）</w:t>
      </w:r>
      <w:r>
        <w:rPr>
          <w:rFonts w:hint="eastAsia" w:ascii="宋体" w:hAnsi="宋体" w:cs="宋体"/>
          <w:color w:val="auto"/>
          <w:sz w:val="24"/>
          <w:szCs w:val="24"/>
          <w:highlight w:val="none"/>
        </w:rPr>
        <w:t>是</w:t>
      </w: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的法定代表人，特授权</w:t>
      </w:r>
      <w:r>
        <w:rPr>
          <w:rFonts w:hint="eastAsia" w:ascii="宋体" w:hAnsi="宋体" w:cs="宋体"/>
          <w:color w:val="auto"/>
          <w:sz w:val="24"/>
          <w:szCs w:val="24"/>
          <w:highlight w:val="none"/>
          <w:u w:val="single"/>
        </w:rPr>
        <w:t>（被授权人姓名及身份证代码）</w:t>
      </w:r>
      <w:r>
        <w:rPr>
          <w:rFonts w:hint="eastAsia" w:ascii="宋体" w:hAnsi="宋体" w:cs="宋体"/>
          <w:color w:val="auto"/>
          <w:sz w:val="24"/>
          <w:szCs w:val="24"/>
          <w:highlight w:val="none"/>
        </w:rPr>
        <w:t>代表我单位全权办理上述项目的询价、签约等具体工作，并签署全部有关文件、协议及合同。</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我单位对被授权人的签字负全部责任。</w:t>
      </w:r>
    </w:p>
    <w:p>
      <w:pPr>
        <w:tabs>
          <w:tab w:val="left" w:pos="6300"/>
        </w:tabs>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被授权人：                                   供应商法定代表人：</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（签字或盖章）                              （签字或盖章）</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（附：被授权人身份证正反面复印件）</w:t>
      </w: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p>
    <w:p>
      <w:pPr>
        <w:tabs>
          <w:tab w:val="left" w:pos="6300"/>
        </w:tabs>
        <w:snapToGrid w:val="0"/>
        <w:spacing w:line="360" w:lineRule="auto"/>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（供应商公章）</w:t>
      </w:r>
    </w:p>
    <w:p>
      <w:pPr>
        <w:tabs>
          <w:tab w:val="left" w:pos="6300"/>
        </w:tabs>
        <w:snapToGrid w:val="0"/>
        <w:spacing w:line="360" w:lineRule="auto"/>
        <w:ind w:right="480" w:firstLine="57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tabs>
          <w:tab w:val="left" w:pos="6300"/>
        </w:tabs>
        <w:snapToGrid w:val="0"/>
        <w:spacing w:line="360" w:lineRule="auto"/>
        <w:ind w:firstLine="570"/>
        <w:jc w:val="left"/>
        <w:rPr>
          <w:rFonts w:hint="eastAsia" w:ascii="宋体" w:hAnsi="宋体" w:cs="宋体"/>
          <w:b/>
          <w:bCs/>
          <w:color w:val="auto"/>
          <w:sz w:val="40"/>
          <w:szCs w:val="40"/>
          <w:highlight w:val="none"/>
        </w:rPr>
      </w:pPr>
      <w:r>
        <w:rPr>
          <w:rFonts w:hint="eastAsia" w:ascii="宋体" w:hAnsi="宋体" w:cs="宋体"/>
          <w:color w:val="auto"/>
          <w:highlight w:val="none"/>
        </w:rPr>
        <w:t>（四）书面承诺</w:t>
      </w:r>
    </w:p>
    <w:p>
      <w:pPr>
        <w:tabs>
          <w:tab w:val="left" w:pos="6300"/>
        </w:tabs>
        <w:snapToGrid w:val="0"/>
        <w:spacing w:line="360" w:lineRule="auto"/>
        <w:ind w:firstLine="570"/>
        <w:jc w:val="center"/>
        <w:rPr>
          <w:rFonts w:hint="eastAsia" w:ascii="宋体" w:hAnsi="宋体" w:cs="宋体"/>
          <w:b/>
          <w:bCs/>
          <w:color w:val="auto"/>
          <w:sz w:val="40"/>
          <w:szCs w:val="40"/>
          <w:highlight w:val="none"/>
        </w:rPr>
      </w:pPr>
      <w:r>
        <w:rPr>
          <w:rFonts w:hint="eastAsia" w:ascii="宋体" w:hAnsi="宋体" w:cs="宋体"/>
          <w:b/>
          <w:bCs/>
          <w:color w:val="auto"/>
          <w:sz w:val="40"/>
          <w:szCs w:val="40"/>
          <w:highlight w:val="none"/>
        </w:rPr>
        <w:t>基本资格条件承诺函</w:t>
      </w:r>
    </w:p>
    <w:p>
      <w:pPr>
        <w:pStyle w:val="254"/>
        <w:rPr>
          <w:rFonts w:hint="eastAsia" w:ascii="宋体" w:hAnsi="宋体" w:cs="宋体"/>
          <w:color w:val="auto"/>
          <w:highlight w:val="none"/>
        </w:rPr>
      </w:pPr>
    </w:p>
    <w:p>
      <w:pPr>
        <w:rPr>
          <w:rFonts w:hint="eastAsia" w:ascii="宋体" w:hAnsi="宋体" w:cs="宋体"/>
          <w:color w:val="auto"/>
          <w:highlight w:val="none"/>
        </w:rPr>
      </w:pP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val="en-US" w:eastAsia="zh-CN"/>
        </w:rPr>
        <w:t xml:space="preserve"> （采购人）</w:t>
      </w:r>
      <w:r>
        <w:rPr>
          <w:rFonts w:hint="eastAsia" w:ascii="宋体" w:hAnsi="宋体" w:cs="宋体"/>
          <w:color w:val="auto"/>
          <w:sz w:val="24"/>
          <w:szCs w:val="24"/>
          <w:highlight w:val="none"/>
        </w:rPr>
        <w:t xml:space="preserve">： </w:t>
      </w:r>
    </w:p>
    <w:p>
      <w:pPr>
        <w:tabs>
          <w:tab w:val="left" w:pos="6300"/>
        </w:tabs>
        <w:snapToGrid w:val="0"/>
        <w:spacing w:line="360" w:lineRule="auto"/>
        <w:ind w:firstLine="57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（投标人名称）郑重承诺： </w:t>
      </w:r>
    </w:p>
    <w:p>
      <w:pPr>
        <w:tabs>
          <w:tab w:val="left" w:pos="6300"/>
        </w:tabs>
        <w:snapToGrid w:val="0"/>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1.我方具有良好的商业信誉和健全的财务会计制度，具有履行合同所必需的设备和专业技术能力，具有依法缴纳税收和社会保障金的良好记录，参加本项目采购活动前三年内无重大违法活动记录。 </w:t>
      </w:r>
    </w:p>
    <w:p>
      <w:pPr>
        <w:tabs>
          <w:tab w:val="left" w:pos="6300"/>
        </w:tabs>
        <w:snapToGrid w:val="0"/>
        <w:spacing w:line="360" w:lineRule="auto"/>
        <w:ind w:firstLine="727" w:firstLineChars="303"/>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2.我方未列入在信用中国网站（www.creditchina.gov.cn）“失信被执行人”、“重大税收违法案件当事人名单”中，也未列入中国政府采购网（www.ccgp.gov.cn）“政府采购严重违法失信行为记录名单”中。 </w:t>
      </w:r>
    </w:p>
    <w:p>
      <w:pPr>
        <w:tabs>
          <w:tab w:val="left" w:pos="6300"/>
        </w:tabs>
        <w:snapToGrid w:val="0"/>
        <w:spacing w:line="360" w:lineRule="auto"/>
        <w:ind w:firstLine="727" w:firstLineChars="303"/>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3.我方在采购项目评审（评标）环节结束后，随时接受采购人、采购代理机构的检查验证，配合提供相关证明材料，证明符合《中华人民共和国政府采购法》规定的投标人基本资格条件。 </w:t>
      </w:r>
    </w:p>
    <w:p>
      <w:pPr>
        <w:tabs>
          <w:tab w:val="left" w:pos="6300"/>
        </w:tabs>
        <w:snapToGrid w:val="0"/>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我方对以上承诺负全部法律责任。 </w:t>
      </w:r>
    </w:p>
    <w:p>
      <w:pPr>
        <w:tabs>
          <w:tab w:val="left" w:pos="6300"/>
        </w:tabs>
        <w:snapToGrid w:val="0"/>
        <w:spacing w:line="360" w:lineRule="auto"/>
        <w:ind w:firstLine="727" w:firstLineChars="303"/>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特此承诺。 </w:t>
      </w:r>
    </w:p>
    <w:p>
      <w:pPr>
        <w:pStyle w:val="3"/>
        <w:rPr>
          <w:rFonts w:hint="eastAsia" w:ascii="宋体" w:hAnsi="宋体" w:cs="宋体"/>
          <w:color w:val="auto"/>
          <w:kern w:val="0"/>
          <w:sz w:val="31"/>
          <w:szCs w:val="31"/>
          <w:highlight w:val="none"/>
          <w:lang w:bidi="ar"/>
        </w:rPr>
      </w:pPr>
    </w:p>
    <w:p>
      <w:pPr>
        <w:rPr>
          <w:rFonts w:hint="eastAsia" w:ascii="宋体" w:hAnsi="宋体" w:cs="宋体"/>
          <w:color w:val="auto"/>
          <w:kern w:val="0"/>
          <w:sz w:val="31"/>
          <w:szCs w:val="31"/>
          <w:highlight w:val="none"/>
          <w:lang w:bidi="ar"/>
        </w:rPr>
      </w:pPr>
    </w:p>
    <w:p>
      <w:pPr>
        <w:pStyle w:val="255"/>
        <w:rPr>
          <w:rFonts w:hint="eastAsia" w:hAnsi="宋体" w:eastAsia="宋体" w:cs="宋体"/>
          <w:color w:val="auto"/>
          <w:highlight w:val="none"/>
        </w:rPr>
      </w:pPr>
    </w:p>
    <w:p>
      <w:pPr>
        <w:pStyle w:val="3"/>
        <w:rPr>
          <w:rFonts w:hint="eastAsia" w:ascii="宋体" w:hAnsi="宋体" w:cs="宋体"/>
          <w:color w:val="auto"/>
          <w:highlight w:val="none"/>
        </w:rPr>
      </w:pPr>
      <w:r>
        <w:rPr>
          <w:rFonts w:hint="eastAsia" w:ascii="宋体" w:hAnsi="宋体" w:cs="宋体"/>
          <w:color w:val="auto"/>
          <w:kern w:val="0"/>
          <w:sz w:val="31"/>
          <w:szCs w:val="31"/>
          <w:highlight w:val="none"/>
          <w:lang w:bidi="ar"/>
        </w:rPr>
        <w:t xml:space="preserve">   </w:t>
      </w:r>
    </w:p>
    <w:p>
      <w:pPr>
        <w:tabs>
          <w:tab w:val="left" w:pos="6300"/>
        </w:tabs>
        <w:snapToGrid w:val="0"/>
        <w:spacing w:line="360" w:lineRule="auto"/>
        <w:ind w:firstLine="2642" w:firstLineChars="1101"/>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供应商（公章）：</w:t>
      </w:r>
    </w:p>
    <w:p>
      <w:pPr>
        <w:tabs>
          <w:tab w:val="left" w:pos="6300"/>
        </w:tabs>
        <w:snapToGrid w:val="0"/>
        <w:spacing w:line="360" w:lineRule="auto"/>
        <w:ind w:firstLine="727" w:firstLineChars="303"/>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日期：年   月   日</w:t>
      </w:r>
    </w:p>
    <w:p>
      <w:pPr>
        <w:pStyle w:val="6"/>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bookmarkStart w:id="127" w:name="_Toc12125"/>
      <w:r>
        <w:rPr>
          <w:rFonts w:hint="eastAsia" w:ascii="宋体" w:hAnsi="宋体" w:cs="宋体"/>
          <w:color w:val="auto"/>
          <w:sz w:val="24"/>
          <w:szCs w:val="24"/>
          <w:highlight w:val="none"/>
        </w:rPr>
        <w:t>（五）特定资格条件（自附）</w:t>
      </w:r>
      <w:r>
        <w:rPr>
          <w:rFonts w:hint="eastAsia" w:ascii="宋体" w:hAnsi="宋体" w:cs="宋体"/>
          <w:color w:val="auto"/>
          <w:szCs w:val="24"/>
          <w:highlight w:val="none"/>
        </w:rPr>
        <w:br w:type="page"/>
      </w:r>
      <w:bookmarkStart w:id="128" w:name="_Toc486585244"/>
      <w:bookmarkStart w:id="129" w:name="_Toc486608281"/>
      <w:bookmarkStart w:id="130" w:name="_Toc29032"/>
      <w:bookmarkStart w:id="131" w:name="_Toc11824"/>
      <w:bookmarkStart w:id="132" w:name="_Toc487204801"/>
      <w:r>
        <w:rPr>
          <w:rFonts w:hint="eastAsia" w:ascii="宋体" w:hAnsi="宋体" w:cs="宋体"/>
          <w:color w:val="auto"/>
          <w:sz w:val="24"/>
          <w:szCs w:val="24"/>
          <w:highlight w:val="none"/>
        </w:rPr>
        <w:t>五、其他应提供的资料</w:t>
      </w:r>
      <w:bookmarkEnd w:id="127"/>
      <w:bookmarkEnd w:id="128"/>
      <w:bookmarkEnd w:id="129"/>
      <w:bookmarkEnd w:id="130"/>
      <w:bookmarkEnd w:id="131"/>
      <w:bookmarkEnd w:id="132"/>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（一）其他资料</w:t>
      </w:r>
    </w:p>
    <w:p>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其他与项目有关的资料（自附）</w:t>
      </w:r>
    </w:p>
    <w:p>
      <w:pPr>
        <w:widowControl/>
        <w:jc w:val="left"/>
        <w:rPr>
          <w:rFonts w:hint="eastAsia" w:ascii="宋体" w:hAnsi="宋体" w:cs="宋体"/>
          <w:color w:val="auto"/>
          <w:sz w:val="24"/>
          <w:szCs w:val="24"/>
          <w:highlight w:val="none"/>
        </w:rPr>
      </w:pPr>
    </w:p>
    <w:p>
      <w:pPr>
        <w:widowControl/>
        <w:jc w:val="left"/>
        <w:rPr>
          <w:rFonts w:hint="eastAsia" w:ascii="宋体" w:hAnsi="宋体" w:cs="宋体"/>
          <w:color w:val="auto"/>
          <w:sz w:val="24"/>
          <w:szCs w:val="24"/>
          <w:highlight w:val="none"/>
        </w:rPr>
      </w:pPr>
    </w:p>
    <w:p>
      <w:pPr>
        <w:widowControl/>
        <w:jc w:val="left"/>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p>
    <w:p>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（结束）</w:t>
      </w: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pStyle w:val="2"/>
        <w:rPr>
          <w:rFonts w:hint="eastAsia" w:ascii="宋体" w:hAnsi="宋体" w:cs="宋体"/>
          <w:color w:val="auto"/>
          <w:sz w:val="24"/>
          <w:szCs w:val="24"/>
          <w:highlight w:val="none"/>
        </w:rPr>
      </w:pPr>
    </w:p>
    <w:p>
      <w:pPr>
        <w:rPr>
          <w:rFonts w:hint="eastAsia" w:ascii="宋体" w:hAnsi="宋体" w:cs="宋体"/>
          <w:color w:val="auto"/>
          <w:highlight w:val="none"/>
        </w:rPr>
      </w:pPr>
    </w:p>
    <w:p>
      <w:pPr>
        <w:spacing w:line="360" w:lineRule="auto"/>
        <w:jc w:val="both"/>
        <w:rPr>
          <w:rFonts w:hint="eastAsia" w:ascii="仿宋" w:hAnsi="仿宋" w:eastAsia="仿宋" w:cs="仿宋"/>
          <w:color w:val="auto"/>
          <w:sz w:val="28"/>
          <w:szCs w:val="28"/>
          <w:highlight w:val="none"/>
        </w:rPr>
      </w:pPr>
    </w:p>
    <w:sectPr>
      <w:headerReference r:id="rId12" w:type="default"/>
      <w:footerReference r:id="rId13"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宋体"/>
    <w:panose1 w:val="00000000000000000000"/>
    <w:charset w:val="86"/>
    <w:family w:val="modern"/>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4"/>
      </w:rPr>
    </w:pPr>
    <w:r>
      <w:fldChar w:fldCharType="begin"/>
    </w:r>
    <w:r>
      <w:rPr>
        <w:rStyle w:val="64"/>
      </w:rPr>
      <w:instrText xml:space="preserve">PAGE  </w:instrText>
    </w:r>
    <w:r>
      <w:fldChar w:fldCharType="separate"/>
    </w:r>
    <w: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4"/>
      </w:rPr>
    </w:pPr>
  </w:p>
  <w:p>
    <w:pPr>
      <w:pStyle w:val="37"/>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rPr>
        <w:rFonts w:hint="eastAsia"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rPr>
        <w:rFonts w:hint="eastAsia"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pPr>
    <w:r>
      <w:rPr>
        <w:rFonts w:hint="eastAsia" w:ascii="仿宋" w:hAnsi="仿宋" w:eastAsia="仿宋" w:cs="宋体"/>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631D8"/>
    <w:multiLevelType w:val="singleLevel"/>
    <w:tmpl w:val="EE2631D8"/>
    <w:lvl w:ilvl="0" w:tentative="0">
      <w:start w:val="3"/>
      <w:numFmt w:val="chineseCounting"/>
      <w:suff w:val="space"/>
      <w:lvlText w:val="第%1篇"/>
      <w:lvlJc w:val="left"/>
      <w:rPr>
        <w:rFonts w:hint="eastAsia"/>
      </w:rPr>
    </w:lvl>
  </w:abstractNum>
  <w:abstractNum w:abstractNumId="1">
    <w:nsid w:val="00000009"/>
    <w:multiLevelType w:val="multilevel"/>
    <w:tmpl w:val="00000009"/>
    <w:lvl w:ilvl="0" w:tentative="0">
      <w:start w:val="1"/>
      <w:numFmt w:val="upperLetter"/>
      <w:pStyle w:val="12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7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98"/>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99"/>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5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4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23"/>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1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C11C75E"/>
    <w:multiLevelType w:val="singleLevel"/>
    <w:tmpl w:val="5C11C75E"/>
    <w:lvl w:ilvl="0" w:tentative="0">
      <w:start w:val="1"/>
      <w:numFmt w:val="chineseCounting"/>
      <w:suff w:val="nothing"/>
      <w:lvlText w:val="%1、"/>
      <w:lvlJc w:val="left"/>
    </w:lvl>
  </w:abstractNum>
  <w:num w:numId="1">
    <w:abstractNumId w:val="9"/>
  </w:num>
  <w:num w:numId="2">
    <w:abstractNumId w:val="6"/>
  </w:num>
  <w:num w:numId="3">
    <w:abstractNumId w:val="4"/>
  </w:num>
  <w:num w:numId="4">
    <w:abstractNumId w:val="10"/>
  </w:num>
  <w:num w:numId="5">
    <w:abstractNumId w:val="1"/>
  </w:num>
  <w:num w:numId="6">
    <w:abstractNumId w:val="11"/>
  </w:num>
  <w:num w:numId="7">
    <w:abstractNumId w:val="7"/>
  </w:num>
  <w:num w:numId="8">
    <w:abstractNumId w:val="2"/>
  </w:num>
  <w:num w:numId="9">
    <w:abstractNumId w:val="3"/>
  </w:num>
  <w:num w:numId="10">
    <w:abstractNumId w:val="12"/>
  </w:num>
  <w:num w:numId="11">
    <w:abstractNumId w:val="5"/>
  </w:num>
  <w:num w:numId="12">
    <w:abstractNumId w:val="8"/>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NjhmODViODk5ZTdkYWI0MTIzMmRiMDkwOThiNGUifQ=="/>
  </w:docVars>
  <w:rsids>
    <w:rsidRoot w:val="00172A27"/>
    <w:rsid w:val="00003626"/>
    <w:rsid w:val="000040DE"/>
    <w:rsid w:val="000075E8"/>
    <w:rsid w:val="00011B4B"/>
    <w:rsid w:val="00011CCB"/>
    <w:rsid w:val="00016B79"/>
    <w:rsid w:val="00017816"/>
    <w:rsid w:val="00024866"/>
    <w:rsid w:val="0003632F"/>
    <w:rsid w:val="0004739C"/>
    <w:rsid w:val="0005298B"/>
    <w:rsid w:val="0005417C"/>
    <w:rsid w:val="000576E1"/>
    <w:rsid w:val="00063981"/>
    <w:rsid w:val="00090C5A"/>
    <w:rsid w:val="00091B1C"/>
    <w:rsid w:val="00091D22"/>
    <w:rsid w:val="000A164E"/>
    <w:rsid w:val="000A3057"/>
    <w:rsid w:val="000B1F26"/>
    <w:rsid w:val="000B42F4"/>
    <w:rsid w:val="000B7377"/>
    <w:rsid w:val="000B7F54"/>
    <w:rsid w:val="000C6D89"/>
    <w:rsid w:val="000C7A5D"/>
    <w:rsid w:val="000E01C9"/>
    <w:rsid w:val="000E0786"/>
    <w:rsid w:val="000E0DD7"/>
    <w:rsid w:val="000E3259"/>
    <w:rsid w:val="000F0045"/>
    <w:rsid w:val="000F5BE1"/>
    <w:rsid w:val="000F7DBF"/>
    <w:rsid w:val="0010014A"/>
    <w:rsid w:val="00100639"/>
    <w:rsid w:val="00105638"/>
    <w:rsid w:val="00112E2F"/>
    <w:rsid w:val="00115337"/>
    <w:rsid w:val="00116856"/>
    <w:rsid w:val="0011780F"/>
    <w:rsid w:val="00117914"/>
    <w:rsid w:val="00120259"/>
    <w:rsid w:val="0012184B"/>
    <w:rsid w:val="00121958"/>
    <w:rsid w:val="00122F9D"/>
    <w:rsid w:val="001266BF"/>
    <w:rsid w:val="001301F5"/>
    <w:rsid w:val="00133D16"/>
    <w:rsid w:val="00134037"/>
    <w:rsid w:val="00147FB4"/>
    <w:rsid w:val="0015011C"/>
    <w:rsid w:val="00150429"/>
    <w:rsid w:val="00152B00"/>
    <w:rsid w:val="001545F5"/>
    <w:rsid w:val="001656CA"/>
    <w:rsid w:val="00171E05"/>
    <w:rsid w:val="00180ACB"/>
    <w:rsid w:val="00180C01"/>
    <w:rsid w:val="001820AF"/>
    <w:rsid w:val="00183B60"/>
    <w:rsid w:val="00186623"/>
    <w:rsid w:val="001879FD"/>
    <w:rsid w:val="00191DDF"/>
    <w:rsid w:val="00192CCB"/>
    <w:rsid w:val="00195F3C"/>
    <w:rsid w:val="001A6DCC"/>
    <w:rsid w:val="001B36AD"/>
    <w:rsid w:val="001B3DBD"/>
    <w:rsid w:val="001B4377"/>
    <w:rsid w:val="001C1569"/>
    <w:rsid w:val="001D2321"/>
    <w:rsid w:val="001D2DCD"/>
    <w:rsid w:val="001D5055"/>
    <w:rsid w:val="001D630C"/>
    <w:rsid w:val="001E201B"/>
    <w:rsid w:val="001E5CAC"/>
    <w:rsid w:val="001E6841"/>
    <w:rsid w:val="001E725F"/>
    <w:rsid w:val="001F1AF7"/>
    <w:rsid w:val="001F4964"/>
    <w:rsid w:val="001F7063"/>
    <w:rsid w:val="001F7C86"/>
    <w:rsid w:val="00202B04"/>
    <w:rsid w:val="00204936"/>
    <w:rsid w:val="00206A98"/>
    <w:rsid w:val="002100EE"/>
    <w:rsid w:val="00210EF3"/>
    <w:rsid w:val="00213808"/>
    <w:rsid w:val="0021704D"/>
    <w:rsid w:val="00222097"/>
    <w:rsid w:val="00227202"/>
    <w:rsid w:val="00227377"/>
    <w:rsid w:val="00227851"/>
    <w:rsid w:val="002348E0"/>
    <w:rsid w:val="00242B57"/>
    <w:rsid w:val="002643C1"/>
    <w:rsid w:val="00265203"/>
    <w:rsid w:val="00270A73"/>
    <w:rsid w:val="0027199E"/>
    <w:rsid w:val="00271D47"/>
    <w:rsid w:val="002721EA"/>
    <w:rsid w:val="00276211"/>
    <w:rsid w:val="00280E8A"/>
    <w:rsid w:val="00285164"/>
    <w:rsid w:val="002A4956"/>
    <w:rsid w:val="002A6710"/>
    <w:rsid w:val="002B578B"/>
    <w:rsid w:val="002B7904"/>
    <w:rsid w:val="002C2507"/>
    <w:rsid w:val="002C2E6E"/>
    <w:rsid w:val="002C7927"/>
    <w:rsid w:val="002D7725"/>
    <w:rsid w:val="002F0ED3"/>
    <w:rsid w:val="002F3DE3"/>
    <w:rsid w:val="002F632E"/>
    <w:rsid w:val="003021BC"/>
    <w:rsid w:val="00302DB1"/>
    <w:rsid w:val="00310AF9"/>
    <w:rsid w:val="0031465E"/>
    <w:rsid w:val="00315742"/>
    <w:rsid w:val="003163B3"/>
    <w:rsid w:val="00322A7A"/>
    <w:rsid w:val="00326C5B"/>
    <w:rsid w:val="00341DEB"/>
    <w:rsid w:val="00345701"/>
    <w:rsid w:val="00346A3D"/>
    <w:rsid w:val="00350C20"/>
    <w:rsid w:val="003548FA"/>
    <w:rsid w:val="00355A74"/>
    <w:rsid w:val="00361427"/>
    <w:rsid w:val="0036458B"/>
    <w:rsid w:val="00371D2F"/>
    <w:rsid w:val="00373122"/>
    <w:rsid w:val="0038033A"/>
    <w:rsid w:val="003816ED"/>
    <w:rsid w:val="00384161"/>
    <w:rsid w:val="00387610"/>
    <w:rsid w:val="00395C2F"/>
    <w:rsid w:val="003973D3"/>
    <w:rsid w:val="00397F89"/>
    <w:rsid w:val="003A0892"/>
    <w:rsid w:val="003A449E"/>
    <w:rsid w:val="003A517C"/>
    <w:rsid w:val="003A71F3"/>
    <w:rsid w:val="003B01D8"/>
    <w:rsid w:val="003B19F5"/>
    <w:rsid w:val="003C362B"/>
    <w:rsid w:val="003D0E0A"/>
    <w:rsid w:val="003D3B22"/>
    <w:rsid w:val="003D7B3D"/>
    <w:rsid w:val="003E16F1"/>
    <w:rsid w:val="003E329D"/>
    <w:rsid w:val="003F0209"/>
    <w:rsid w:val="003F626F"/>
    <w:rsid w:val="00402B32"/>
    <w:rsid w:val="004068F0"/>
    <w:rsid w:val="00410C93"/>
    <w:rsid w:val="00411B4A"/>
    <w:rsid w:val="004134DD"/>
    <w:rsid w:val="00416146"/>
    <w:rsid w:val="00417E99"/>
    <w:rsid w:val="00452E7D"/>
    <w:rsid w:val="00453B8F"/>
    <w:rsid w:val="00455C6F"/>
    <w:rsid w:val="00462878"/>
    <w:rsid w:val="00463FF8"/>
    <w:rsid w:val="00465B7A"/>
    <w:rsid w:val="00472AA2"/>
    <w:rsid w:val="00473B39"/>
    <w:rsid w:val="00491CBB"/>
    <w:rsid w:val="004953EC"/>
    <w:rsid w:val="004A0D29"/>
    <w:rsid w:val="004A0DE1"/>
    <w:rsid w:val="004A2410"/>
    <w:rsid w:val="004A27AC"/>
    <w:rsid w:val="004A3995"/>
    <w:rsid w:val="004B2C3D"/>
    <w:rsid w:val="004C1DD0"/>
    <w:rsid w:val="004C3FE2"/>
    <w:rsid w:val="004C64E4"/>
    <w:rsid w:val="004D2334"/>
    <w:rsid w:val="004E156F"/>
    <w:rsid w:val="004E55DB"/>
    <w:rsid w:val="004E67C6"/>
    <w:rsid w:val="00502B2F"/>
    <w:rsid w:val="00512D00"/>
    <w:rsid w:val="00514179"/>
    <w:rsid w:val="00544BEA"/>
    <w:rsid w:val="005460D5"/>
    <w:rsid w:val="00550E58"/>
    <w:rsid w:val="00553CF0"/>
    <w:rsid w:val="00566A85"/>
    <w:rsid w:val="00573AE3"/>
    <w:rsid w:val="005902D9"/>
    <w:rsid w:val="005948E5"/>
    <w:rsid w:val="00596AB7"/>
    <w:rsid w:val="005A1EA7"/>
    <w:rsid w:val="005B0724"/>
    <w:rsid w:val="005B1E46"/>
    <w:rsid w:val="005B7552"/>
    <w:rsid w:val="005B77C5"/>
    <w:rsid w:val="005C3F4B"/>
    <w:rsid w:val="005C42AC"/>
    <w:rsid w:val="005C4F84"/>
    <w:rsid w:val="005D37D0"/>
    <w:rsid w:val="005D703E"/>
    <w:rsid w:val="005E5525"/>
    <w:rsid w:val="005F7942"/>
    <w:rsid w:val="00613410"/>
    <w:rsid w:val="00617986"/>
    <w:rsid w:val="00623F13"/>
    <w:rsid w:val="00627729"/>
    <w:rsid w:val="00627F21"/>
    <w:rsid w:val="00643A20"/>
    <w:rsid w:val="0064583B"/>
    <w:rsid w:val="006467C0"/>
    <w:rsid w:val="00651127"/>
    <w:rsid w:val="0065190C"/>
    <w:rsid w:val="00654A48"/>
    <w:rsid w:val="0065651B"/>
    <w:rsid w:val="00657834"/>
    <w:rsid w:val="00663689"/>
    <w:rsid w:val="00664607"/>
    <w:rsid w:val="00670089"/>
    <w:rsid w:val="00680AE4"/>
    <w:rsid w:val="00681E4A"/>
    <w:rsid w:val="00682205"/>
    <w:rsid w:val="00684E51"/>
    <w:rsid w:val="006A100B"/>
    <w:rsid w:val="006A143A"/>
    <w:rsid w:val="006A3285"/>
    <w:rsid w:val="006B0567"/>
    <w:rsid w:val="006B3FC0"/>
    <w:rsid w:val="006B72DE"/>
    <w:rsid w:val="006C5FC1"/>
    <w:rsid w:val="006D44E1"/>
    <w:rsid w:val="006D5EA2"/>
    <w:rsid w:val="006E21FA"/>
    <w:rsid w:val="006E477D"/>
    <w:rsid w:val="006E6D5F"/>
    <w:rsid w:val="006E7454"/>
    <w:rsid w:val="006F0FB7"/>
    <w:rsid w:val="006F5925"/>
    <w:rsid w:val="00704E5D"/>
    <w:rsid w:val="00705739"/>
    <w:rsid w:val="00710AE5"/>
    <w:rsid w:val="0071258B"/>
    <w:rsid w:val="00714BF1"/>
    <w:rsid w:val="00715FB5"/>
    <w:rsid w:val="00717187"/>
    <w:rsid w:val="007171A6"/>
    <w:rsid w:val="0071799D"/>
    <w:rsid w:val="00723BF3"/>
    <w:rsid w:val="00726088"/>
    <w:rsid w:val="0072719A"/>
    <w:rsid w:val="00730B6A"/>
    <w:rsid w:val="00736D88"/>
    <w:rsid w:val="00736DD2"/>
    <w:rsid w:val="00741FCF"/>
    <w:rsid w:val="0074681C"/>
    <w:rsid w:val="00746EC2"/>
    <w:rsid w:val="007506B8"/>
    <w:rsid w:val="00753266"/>
    <w:rsid w:val="00774B2B"/>
    <w:rsid w:val="00794382"/>
    <w:rsid w:val="007959AC"/>
    <w:rsid w:val="007A20E0"/>
    <w:rsid w:val="007A2E36"/>
    <w:rsid w:val="007B2204"/>
    <w:rsid w:val="007B4B60"/>
    <w:rsid w:val="007C2A26"/>
    <w:rsid w:val="007C5EF1"/>
    <w:rsid w:val="007C6B0F"/>
    <w:rsid w:val="007D7A44"/>
    <w:rsid w:val="007D7E65"/>
    <w:rsid w:val="007E19E0"/>
    <w:rsid w:val="007E343C"/>
    <w:rsid w:val="007F4173"/>
    <w:rsid w:val="00800A6E"/>
    <w:rsid w:val="008041D4"/>
    <w:rsid w:val="0081156A"/>
    <w:rsid w:val="00822BF7"/>
    <w:rsid w:val="00827398"/>
    <w:rsid w:val="00842974"/>
    <w:rsid w:val="00842F87"/>
    <w:rsid w:val="008454AE"/>
    <w:rsid w:val="0085550A"/>
    <w:rsid w:val="008616EF"/>
    <w:rsid w:val="008625F3"/>
    <w:rsid w:val="00863C25"/>
    <w:rsid w:val="008641B7"/>
    <w:rsid w:val="00864DC1"/>
    <w:rsid w:val="008705BC"/>
    <w:rsid w:val="00875A42"/>
    <w:rsid w:val="008904A8"/>
    <w:rsid w:val="00891D94"/>
    <w:rsid w:val="00895E01"/>
    <w:rsid w:val="008A19AF"/>
    <w:rsid w:val="008A20FB"/>
    <w:rsid w:val="008C4320"/>
    <w:rsid w:val="008C4C84"/>
    <w:rsid w:val="008C510F"/>
    <w:rsid w:val="008D067F"/>
    <w:rsid w:val="008E66B8"/>
    <w:rsid w:val="008F0A2E"/>
    <w:rsid w:val="008F1988"/>
    <w:rsid w:val="008F6252"/>
    <w:rsid w:val="009023F3"/>
    <w:rsid w:val="0090383C"/>
    <w:rsid w:val="00910B81"/>
    <w:rsid w:val="00912132"/>
    <w:rsid w:val="00922FAD"/>
    <w:rsid w:val="00924F0A"/>
    <w:rsid w:val="0092708B"/>
    <w:rsid w:val="0093049D"/>
    <w:rsid w:val="00937713"/>
    <w:rsid w:val="0094759E"/>
    <w:rsid w:val="00962BF1"/>
    <w:rsid w:val="00965300"/>
    <w:rsid w:val="00966820"/>
    <w:rsid w:val="00971E57"/>
    <w:rsid w:val="009723CF"/>
    <w:rsid w:val="0097652A"/>
    <w:rsid w:val="00980037"/>
    <w:rsid w:val="00983B43"/>
    <w:rsid w:val="0098561E"/>
    <w:rsid w:val="009908E4"/>
    <w:rsid w:val="00991B37"/>
    <w:rsid w:val="00996071"/>
    <w:rsid w:val="009A3C0A"/>
    <w:rsid w:val="009C3034"/>
    <w:rsid w:val="009C327E"/>
    <w:rsid w:val="009C7522"/>
    <w:rsid w:val="009D0FDD"/>
    <w:rsid w:val="009D114D"/>
    <w:rsid w:val="009D3162"/>
    <w:rsid w:val="009D3181"/>
    <w:rsid w:val="009D4280"/>
    <w:rsid w:val="009E3288"/>
    <w:rsid w:val="009E717E"/>
    <w:rsid w:val="009E737D"/>
    <w:rsid w:val="009F1D40"/>
    <w:rsid w:val="009F5A5B"/>
    <w:rsid w:val="00A03977"/>
    <w:rsid w:val="00A26FF7"/>
    <w:rsid w:val="00A3694A"/>
    <w:rsid w:val="00A37A20"/>
    <w:rsid w:val="00A445DC"/>
    <w:rsid w:val="00A44BEA"/>
    <w:rsid w:val="00A55B14"/>
    <w:rsid w:val="00A569E8"/>
    <w:rsid w:val="00A57FAF"/>
    <w:rsid w:val="00A601C4"/>
    <w:rsid w:val="00A64606"/>
    <w:rsid w:val="00A6753A"/>
    <w:rsid w:val="00A711C6"/>
    <w:rsid w:val="00A766EE"/>
    <w:rsid w:val="00A84863"/>
    <w:rsid w:val="00A95D95"/>
    <w:rsid w:val="00A977EC"/>
    <w:rsid w:val="00AA3FD1"/>
    <w:rsid w:val="00AA52DE"/>
    <w:rsid w:val="00AB07A7"/>
    <w:rsid w:val="00AB11B3"/>
    <w:rsid w:val="00AB5ED3"/>
    <w:rsid w:val="00AB6B0C"/>
    <w:rsid w:val="00AB70CD"/>
    <w:rsid w:val="00AC15C3"/>
    <w:rsid w:val="00AC4898"/>
    <w:rsid w:val="00AC48B3"/>
    <w:rsid w:val="00AC7AC9"/>
    <w:rsid w:val="00AE1920"/>
    <w:rsid w:val="00AF01B3"/>
    <w:rsid w:val="00AF024A"/>
    <w:rsid w:val="00AF0F13"/>
    <w:rsid w:val="00AF7992"/>
    <w:rsid w:val="00B00AB3"/>
    <w:rsid w:val="00B14C52"/>
    <w:rsid w:val="00B200AA"/>
    <w:rsid w:val="00B25EB3"/>
    <w:rsid w:val="00B35463"/>
    <w:rsid w:val="00B3647B"/>
    <w:rsid w:val="00B4283C"/>
    <w:rsid w:val="00B463A6"/>
    <w:rsid w:val="00B478C3"/>
    <w:rsid w:val="00B52715"/>
    <w:rsid w:val="00B61348"/>
    <w:rsid w:val="00B6263F"/>
    <w:rsid w:val="00B67114"/>
    <w:rsid w:val="00B75449"/>
    <w:rsid w:val="00B81284"/>
    <w:rsid w:val="00BA21CE"/>
    <w:rsid w:val="00BA527C"/>
    <w:rsid w:val="00BB6BD5"/>
    <w:rsid w:val="00BB7494"/>
    <w:rsid w:val="00BC2390"/>
    <w:rsid w:val="00BC775D"/>
    <w:rsid w:val="00BD5A75"/>
    <w:rsid w:val="00BE07A9"/>
    <w:rsid w:val="00BE2E36"/>
    <w:rsid w:val="00BE4D8F"/>
    <w:rsid w:val="00BF46A7"/>
    <w:rsid w:val="00BF5230"/>
    <w:rsid w:val="00C00289"/>
    <w:rsid w:val="00C1090C"/>
    <w:rsid w:val="00C240C8"/>
    <w:rsid w:val="00C26513"/>
    <w:rsid w:val="00C328C9"/>
    <w:rsid w:val="00C35BA8"/>
    <w:rsid w:val="00C365BE"/>
    <w:rsid w:val="00C37BE5"/>
    <w:rsid w:val="00C37F72"/>
    <w:rsid w:val="00C420C1"/>
    <w:rsid w:val="00C43FEE"/>
    <w:rsid w:val="00C45963"/>
    <w:rsid w:val="00C472B8"/>
    <w:rsid w:val="00C51956"/>
    <w:rsid w:val="00C529FD"/>
    <w:rsid w:val="00C53124"/>
    <w:rsid w:val="00C53B2E"/>
    <w:rsid w:val="00C6160A"/>
    <w:rsid w:val="00C65711"/>
    <w:rsid w:val="00C76ECD"/>
    <w:rsid w:val="00C80754"/>
    <w:rsid w:val="00C84E04"/>
    <w:rsid w:val="00C910BE"/>
    <w:rsid w:val="00C922BE"/>
    <w:rsid w:val="00CA583F"/>
    <w:rsid w:val="00CA5844"/>
    <w:rsid w:val="00CA7415"/>
    <w:rsid w:val="00CB265C"/>
    <w:rsid w:val="00CB4540"/>
    <w:rsid w:val="00CB5E9F"/>
    <w:rsid w:val="00CB7A07"/>
    <w:rsid w:val="00CC0C33"/>
    <w:rsid w:val="00CC59BB"/>
    <w:rsid w:val="00CD3BD4"/>
    <w:rsid w:val="00CD635D"/>
    <w:rsid w:val="00CD6DEE"/>
    <w:rsid w:val="00CD7CED"/>
    <w:rsid w:val="00CE04C7"/>
    <w:rsid w:val="00CE3A95"/>
    <w:rsid w:val="00CE6F1F"/>
    <w:rsid w:val="00CF156B"/>
    <w:rsid w:val="00CF1E02"/>
    <w:rsid w:val="00CF597A"/>
    <w:rsid w:val="00D003D7"/>
    <w:rsid w:val="00D0103F"/>
    <w:rsid w:val="00D05BAA"/>
    <w:rsid w:val="00D07F26"/>
    <w:rsid w:val="00D11A09"/>
    <w:rsid w:val="00D13B7A"/>
    <w:rsid w:val="00D22C4B"/>
    <w:rsid w:val="00D230C7"/>
    <w:rsid w:val="00D23E7D"/>
    <w:rsid w:val="00D2405F"/>
    <w:rsid w:val="00D30C7F"/>
    <w:rsid w:val="00D403AC"/>
    <w:rsid w:val="00D41BA9"/>
    <w:rsid w:val="00D4511A"/>
    <w:rsid w:val="00D52376"/>
    <w:rsid w:val="00D612C2"/>
    <w:rsid w:val="00D65996"/>
    <w:rsid w:val="00D67A4E"/>
    <w:rsid w:val="00D67CED"/>
    <w:rsid w:val="00D745E0"/>
    <w:rsid w:val="00D76AA3"/>
    <w:rsid w:val="00D80604"/>
    <w:rsid w:val="00D8233B"/>
    <w:rsid w:val="00DA0040"/>
    <w:rsid w:val="00DA086B"/>
    <w:rsid w:val="00DA16DB"/>
    <w:rsid w:val="00DA1D7A"/>
    <w:rsid w:val="00DA3CB3"/>
    <w:rsid w:val="00DA6834"/>
    <w:rsid w:val="00DA6E3E"/>
    <w:rsid w:val="00DA7145"/>
    <w:rsid w:val="00DA7E05"/>
    <w:rsid w:val="00DB4794"/>
    <w:rsid w:val="00DB5C3E"/>
    <w:rsid w:val="00DB628E"/>
    <w:rsid w:val="00DE1E39"/>
    <w:rsid w:val="00DF3DF8"/>
    <w:rsid w:val="00DF47D6"/>
    <w:rsid w:val="00DF4D5A"/>
    <w:rsid w:val="00DF5425"/>
    <w:rsid w:val="00DF782C"/>
    <w:rsid w:val="00E030A0"/>
    <w:rsid w:val="00E03B2E"/>
    <w:rsid w:val="00E04F16"/>
    <w:rsid w:val="00E07458"/>
    <w:rsid w:val="00E075A1"/>
    <w:rsid w:val="00E124E3"/>
    <w:rsid w:val="00E12AD0"/>
    <w:rsid w:val="00E14812"/>
    <w:rsid w:val="00E15231"/>
    <w:rsid w:val="00E15DDE"/>
    <w:rsid w:val="00E22749"/>
    <w:rsid w:val="00E2339E"/>
    <w:rsid w:val="00E3245B"/>
    <w:rsid w:val="00E32DCD"/>
    <w:rsid w:val="00E3707B"/>
    <w:rsid w:val="00E50685"/>
    <w:rsid w:val="00E54A4D"/>
    <w:rsid w:val="00E57F6B"/>
    <w:rsid w:val="00E6234F"/>
    <w:rsid w:val="00E67AC7"/>
    <w:rsid w:val="00E7342C"/>
    <w:rsid w:val="00E76363"/>
    <w:rsid w:val="00E90BE3"/>
    <w:rsid w:val="00E91D81"/>
    <w:rsid w:val="00E92BC2"/>
    <w:rsid w:val="00E96551"/>
    <w:rsid w:val="00EA010E"/>
    <w:rsid w:val="00EA2945"/>
    <w:rsid w:val="00EB1E33"/>
    <w:rsid w:val="00EC0881"/>
    <w:rsid w:val="00EC0BA9"/>
    <w:rsid w:val="00EC1CE3"/>
    <w:rsid w:val="00EF15DE"/>
    <w:rsid w:val="00F16313"/>
    <w:rsid w:val="00F20FF1"/>
    <w:rsid w:val="00F30652"/>
    <w:rsid w:val="00F32641"/>
    <w:rsid w:val="00F35195"/>
    <w:rsid w:val="00F35457"/>
    <w:rsid w:val="00F3595B"/>
    <w:rsid w:val="00F367F3"/>
    <w:rsid w:val="00F36A26"/>
    <w:rsid w:val="00F41B08"/>
    <w:rsid w:val="00F41F54"/>
    <w:rsid w:val="00F426A6"/>
    <w:rsid w:val="00F429FD"/>
    <w:rsid w:val="00F4623C"/>
    <w:rsid w:val="00F56399"/>
    <w:rsid w:val="00F7709C"/>
    <w:rsid w:val="00F7750A"/>
    <w:rsid w:val="00F80006"/>
    <w:rsid w:val="00F80084"/>
    <w:rsid w:val="00F832C2"/>
    <w:rsid w:val="00F9047E"/>
    <w:rsid w:val="00F95676"/>
    <w:rsid w:val="00F95969"/>
    <w:rsid w:val="00F96401"/>
    <w:rsid w:val="00FA3F8B"/>
    <w:rsid w:val="00FA767D"/>
    <w:rsid w:val="00FC0829"/>
    <w:rsid w:val="00FC3C96"/>
    <w:rsid w:val="00FD0595"/>
    <w:rsid w:val="00FD1677"/>
    <w:rsid w:val="00FD2470"/>
    <w:rsid w:val="00FD5823"/>
    <w:rsid w:val="00FE1C27"/>
    <w:rsid w:val="00FE5C31"/>
    <w:rsid w:val="00FF1B0E"/>
    <w:rsid w:val="00FF748B"/>
    <w:rsid w:val="00FF7791"/>
    <w:rsid w:val="017140B9"/>
    <w:rsid w:val="01913DED"/>
    <w:rsid w:val="01C1651B"/>
    <w:rsid w:val="01C81864"/>
    <w:rsid w:val="01E31B8B"/>
    <w:rsid w:val="026C0EBB"/>
    <w:rsid w:val="02785724"/>
    <w:rsid w:val="029E5E5A"/>
    <w:rsid w:val="03093074"/>
    <w:rsid w:val="03325C82"/>
    <w:rsid w:val="033E05B8"/>
    <w:rsid w:val="03620961"/>
    <w:rsid w:val="036E22AD"/>
    <w:rsid w:val="037A0F1F"/>
    <w:rsid w:val="037C30D9"/>
    <w:rsid w:val="048209F9"/>
    <w:rsid w:val="04DE2D47"/>
    <w:rsid w:val="05086B8D"/>
    <w:rsid w:val="051919D3"/>
    <w:rsid w:val="05386431"/>
    <w:rsid w:val="058544E6"/>
    <w:rsid w:val="05AA4D44"/>
    <w:rsid w:val="05BC55B0"/>
    <w:rsid w:val="06056183"/>
    <w:rsid w:val="06A23A56"/>
    <w:rsid w:val="06A4131F"/>
    <w:rsid w:val="06B177B1"/>
    <w:rsid w:val="075A27C6"/>
    <w:rsid w:val="0782215C"/>
    <w:rsid w:val="0786412C"/>
    <w:rsid w:val="07D95F83"/>
    <w:rsid w:val="0835399A"/>
    <w:rsid w:val="08384CCB"/>
    <w:rsid w:val="0860638F"/>
    <w:rsid w:val="08A106BD"/>
    <w:rsid w:val="08A823EF"/>
    <w:rsid w:val="08CB7AA7"/>
    <w:rsid w:val="08F65FCF"/>
    <w:rsid w:val="09AF2ADE"/>
    <w:rsid w:val="09B16833"/>
    <w:rsid w:val="0A7B44E3"/>
    <w:rsid w:val="0ACF13B9"/>
    <w:rsid w:val="0BC041EB"/>
    <w:rsid w:val="0BDE4370"/>
    <w:rsid w:val="0BFD1F20"/>
    <w:rsid w:val="0C2D530C"/>
    <w:rsid w:val="0C6A75EB"/>
    <w:rsid w:val="0CF17D7F"/>
    <w:rsid w:val="0D241EF5"/>
    <w:rsid w:val="0D5F0BE0"/>
    <w:rsid w:val="0D8C1545"/>
    <w:rsid w:val="0DC350E0"/>
    <w:rsid w:val="0E0B38F0"/>
    <w:rsid w:val="0E1128F7"/>
    <w:rsid w:val="0E3A1C43"/>
    <w:rsid w:val="0EE93607"/>
    <w:rsid w:val="0F087D49"/>
    <w:rsid w:val="0F2B4A37"/>
    <w:rsid w:val="0FA46825"/>
    <w:rsid w:val="0FB27E46"/>
    <w:rsid w:val="0FDB5CE5"/>
    <w:rsid w:val="0FDF17FB"/>
    <w:rsid w:val="0FFD7BA3"/>
    <w:rsid w:val="10DA58FA"/>
    <w:rsid w:val="112A293F"/>
    <w:rsid w:val="118752DA"/>
    <w:rsid w:val="12104AC7"/>
    <w:rsid w:val="12351FD0"/>
    <w:rsid w:val="123A350A"/>
    <w:rsid w:val="12676C1F"/>
    <w:rsid w:val="128C4BBC"/>
    <w:rsid w:val="12901091"/>
    <w:rsid w:val="12AF2EEB"/>
    <w:rsid w:val="12C55740"/>
    <w:rsid w:val="12D270C2"/>
    <w:rsid w:val="12F33ADC"/>
    <w:rsid w:val="13262134"/>
    <w:rsid w:val="132F7A40"/>
    <w:rsid w:val="133357FE"/>
    <w:rsid w:val="13585B51"/>
    <w:rsid w:val="1411316A"/>
    <w:rsid w:val="14483F8C"/>
    <w:rsid w:val="147A5E14"/>
    <w:rsid w:val="14935BD6"/>
    <w:rsid w:val="14AE288B"/>
    <w:rsid w:val="14DD4826"/>
    <w:rsid w:val="15283EE2"/>
    <w:rsid w:val="1529184E"/>
    <w:rsid w:val="155A7A15"/>
    <w:rsid w:val="15AB4E3C"/>
    <w:rsid w:val="16794E55"/>
    <w:rsid w:val="171614DE"/>
    <w:rsid w:val="173A4862"/>
    <w:rsid w:val="177A159B"/>
    <w:rsid w:val="17986444"/>
    <w:rsid w:val="17C92852"/>
    <w:rsid w:val="18272BB2"/>
    <w:rsid w:val="184F106E"/>
    <w:rsid w:val="188539E2"/>
    <w:rsid w:val="18C44CE7"/>
    <w:rsid w:val="18ED7A84"/>
    <w:rsid w:val="194B6319"/>
    <w:rsid w:val="195354F8"/>
    <w:rsid w:val="19746B11"/>
    <w:rsid w:val="199F7F11"/>
    <w:rsid w:val="19D66884"/>
    <w:rsid w:val="19FF4A39"/>
    <w:rsid w:val="1A34088B"/>
    <w:rsid w:val="1AB63261"/>
    <w:rsid w:val="1ABA4586"/>
    <w:rsid w:val="1B376915"/>
    <w:rsid w:val="1B732FB9"/>
    <w:rsid w:val="1BD66917"/>
    <w:rsid w:val="1C3B41A4"/>
    <w:rsid w:val="1C652473"/>
    <w:rsid w:val="1C9B4FDD"/>
    <w:rsid w:val="1CE94C7E"/>
    <w:rsid w:val="1CF43424"/>
    <w:rsid w:val="1D075734"/>
    <w:rsid w:val="1D6024AD"/>
    <w:rsid w:val="1D8627F1"/>
    <w:rsid w:val="1E2609B5"/>
    <w:rsid w:val="1E6304DB"/>
    <w:rsid w:val="1E7722F0"/>
    <w:rsid w:val="1EAB02FC"/>
    <w:rsid w:val="1ED1244B"/>
    <w:rsid w:val="1F4139BC"/>
    <w:rsid w:val="1F9961B3"/>
    <w:rsid w:val="1FA80990"/>
    <w:rsid w:val="1FDB7F0E"/>
    <w:rsid w:val="1FE54647"/>
    <w:rsid w:val="2007428C"/>
    <w:rsid w:val="20527542"/>
    <w:rsid w:val="20587105"/>
    <w:rsid w:val="20E92C92"/>
    <w:rsid w:val="20EF2D22"/>
    <w:rsid w:val="20F01F24"/>
    <w:rsid w:val="212E02DF"/>
    <w:rsid w:val="218C2776"/>
    <w:rsid w:val="21AB2FC8"/>
    <w:rsid w:val="22344CFD"/>
    <w:rsid w:val="223F39A4"/>
    <w:rsid w:val="22701FB5"/>
    <w:rsid w:val="22D64052"/>
    <w:rsid w:val="23256320"/>
    <w:rsid w:val="23344181"/>
    <w:rsid w:val="236A7E4F"/>
    <w:rsid w:val="23773F3D"/>
    <w:rsid w:val="238F5B84"/>
    <w:rsid w:val="23B86F07"/>
    <w:rsid w:val="23ED7E03"/>
    <w:rsid w:val="23F14B95"/>
    <w:rsid w:val="23F8787D"/>
    <w:rsid w:val="241D3AE0"/>
    <w:rsid w:val="242F7D3D"/>
    <w:rsid w:val="246D2D37"/>
    <w:rsid w:val="24DB6970"/>
    <w:rsid w:val="24F32C2E"/>
    <w:rsid w:val="24F414BA"/>
    <w:rsid w:val="24F938EA"/>
    <w:rsid w:val="250A61DC"/>
    <w:rsid w:val="252F2121"/>
    <w:rsid w:val="25637E14"/>
    <w:rsid w:val="264403D3"/>
    <w:rsid w:val="264D0108"/>
    <w:rsid w:val="265028C3"/>
    <w:rsid w:val="26517F54"/>
    <w:rsid w:val="265448F0"/>
    <w:rsid w:val="26CA17BC"/>
    <w:rsid w:val="272D368D"/>
    <w:rsid w:val="2759562C"/>
    <w:rsid w:val="27684B7F"/>
    <w:rsid w:val="277E430E"/>
    <w:rsid w:val="27974987"/>
    <w:rsid w:val="279C1DD3"/>
    <w:rsid w:val="27B3116D"/>
    <w:rsid w:val="27CC12DC"/>
    <w:rsid w:val="28051617"/>
    <w:rsid w:val="282879D0"/>
    <w:rsid w:val="28307540"/>
    <w:rsid w:val="28317045"/>
    <w:rsid w:val="284347B4"/>
    <w:rsid w:val="28A652CB"/>
    <w:rsid w:val="29120F71"/>
    <w:rsid w:val="29A62B7B"/>
    <w:rsid w:val="2A1C6303"/>
    <w:rsid w:val="2A4C0D5D"/>
    <w:rsid w:val="2A6547B7"/>
    <w:rsid w:val="2A923A2E"/>
    <w:rsid w:val="2ACF6266"/>
    <w:rsid w:val="2ADA29DF"/>
    <w:rsid w:val="2B105073"/>
    <w:rsid w:val="2B8E4169"/>
    <w:rsid w:val="2BB07322"/>
    <w:rsid w:val="2C8F7811"/>
    <w:rsid w:val="2CCC520C"/>
    <w:rsid w:val="2CD018DB"/>
    <w:rsid w:val="2CF266DC"/>
    <w:rsid w:val="2CFB52A9"/>
    <w:rsid w:val="2D001B1A"/>
    <w:rsid w:val="2D89475E"/>
    <w:rsid w:val="2D8B589F"/>
    <w:rsid w:val="2DD101E2"/>
    <w:rsid w:val="2DD77724"/>
    <w:rsid w:val="2E06286D"/>
    <w:rsid w:val="2E0E071F"/>
    <w:rsid w:val="2E3664DC"/>
    <w:rsid w:val="2E892ECA"/>
    <w:rsid w:val="2E91366A"/>
    <w:rsid w:val="2ED004DC"/>
    <w:rsid w:val="2F9E6289"/>
    <w:rsid w:val="2FC81AB6"/>
    <w:rsid w:val="300B7F45"/>
    <w:rsid w:val="300F420C"/>
    <w:rsid w:val="30447604"/>
    <w:rsid w:val="307A69DE"/>
    <w:rsid w:val="30944B56"/>
    <w:rsid w:val="30990304"/>
    <w:rsid w:val="30AD5646"/>
    <w:rsid w:val="310A38D5"/>
    <w:rsid w:val="31B40111"/>
    <w:rsid w:val="31C3209F"/>
    <w:rsid w:val="31C50788"/>
    <w:rsid w:val="31FA4A16"/>
    <w:rsid w:val="31FD25A7"/>
    <w:rsid w:val="324A012E"/>
    <w:rsid w:val="32663743"/>
    <w:rsid w:val="32C103D0"/>
    <w:rsid w:val="32DE49A1"/>
    <w:rsid w:val="33533269"/>
    <w:rsid w:val="337132FF"/>
    <w:rsid w:val="33A20F93"/>
    <w:rsid w:val="344D7DCA"/>
    <w:rsid w:val="344F1ED9"/>
    <w:rsid w:val="34606E03"/>
    <w:rsid w:val="347A13B2"/>
    <w:rsid w:val="3510699D"/>
    <w:rsid w:val="365419AD"/>
    <w:rsid w:val="36696C28"/>
    <w:rsid w:val="372D23DD"/>
    <w:rsid w:val="378538BE"/>
    <w:rsid w:val="37E17038"/>
    <w:rsid w:val="38063105"/>
    <w:rsid w:val="383E2C95"/>
    <w:rsid w:val="384C099F"/>
    <w:rsid w:val="38514A11"/>
    <w:rsid w:val="385406EE"/>
    <w:rsid w:val="385E1FDF"/>
    <w:rsid w:val="38CB333E"/>
    <w:rsid w:val="38FC419C"/>
    <w:rsid w:val="39625561"/>
    <w:rsid w:val="399E663C"/>
    <w:rsid w:val="39D34CB0"/>
    <w:rsid w:val="3A0B6528"/>
    <w:rsid w:val="3A20671E"/>
    <w:rsid w:val="3A4B5F35"/>
    <w:rsid w:val="3A6D5970"/>
    <w:rsid w:val="3A7F5217"/>
    <w:rsid w:val="3A931BFE"/>
    <w:rsid w:val="3AC80B6C"/>
    <w:rsid w:val="3AE818B5"/>
    <w:rsid w:val="3B0B1982"/>
    <w:rsid w:val="3B6601A9"/>
    <w:rsid w:val="3B922E27"/>
    <w:rsid w:val="3BAE783F"/>
    <w:rsid w:val="3BB62391"/>
    <w:rsid w:val="3BC36A46"/>
    <w:rsid w:val="3BD6522C"/>
    <w:rsid w:val="3BDD56E3"/>
    <w:rsid w:val="3C0E2F03"/>
    <w:rsid w:val="3C2C0341"/>
    <w:rsid w:val="3C3B5888"/>
    <w:rsid w:val="3C400AAD"/>
    <w:rsid w:val="3C427145"/>
    <w:rsid w:val="3CCB7DB1"/>
    <w:rsid w:val="3CD62E1E"/>
    <w:rsid w:val="3D043BC6"/>
    <w:rsid w:val="3D607CD5"/>
    <w:rsid w:val="3DAC50F2"/>
    <w:rsid w:val="3E48313C"/>
    <w:rsid w:val="3E6134D9"/>
    <w:rsid w:val="3E7838BB"/>
    <w:rsid w:val="3E842426"/>
    <w:rsid w:val="3F0B461C"/>
    <w:rsid w:val="3F3B4052"/>
    <w:rsid w:val="3F7058EE"/>
    <w:rsid w:val="3FA45D4B"/>
    <w:rsid w:val="3FBA56B7"/>
    <w:rsid w:val="3FEC4A80"/>
    <w:rsid w:val="3FEF2520"/>
    <w:rsid w:val="402469DF"/>
    <w:rsid w:val="40817737"/>
    <w:rsid w:val="40A55471"/>
    <w:rsid w:val="40A648E2"/>
    <w:rsid w:val="40A83B88"/>
    <w:rsid w:val="40BF76CF"/>
    <w:rsid w:val="40C73C4D"/>
    <w:rsid w:val="41F052E1"/>
    <w:rsid w:val="41F727CF"/>
    <w:rsid w:val="425007CD"/>
    <w:rsid w:val="425D45A3"/>
    <w:rsid w:val="428A63A4"/>
    <w:rsid w:val="42A23A96"/>
    <w:rsid w:val="42D70383"/>
    <w:rsid w:val="43496E7E"/>
    <w:rsid w:val="4355055A"/>
    <w:rsid w:val="43755781"/>
    <w:rsid w:val="43B82C77"/>
    <w:rsid w:val="43DC0E59"/>
    <w:rsid w:val="445969E0"/>
    <w:rsid w:val="44A34C18"/>
    <w:rsid w:val="44C60F8A"/>
    <w:rsid w:val="44F94399"/>
    <w:rsid w:val="455C2AE9"/>
    <w:rsid w:val="4572344C"/>
    <w:rsid w:val="45C645BC"/>
    <w:rsid w:val="45D068A9"/>
    <w:rsid w:val="45F43937"/>
    <w:rsid w:val="463F49BB"/>
    <w:rsid w:val="46C224CB"/>
    <w:rsid w:val="46D46963"/>
    <w:rsid w:val="47275431"/>
    <w:rsid w:val="47495883"/>
    <w:rsid w:val="47566F27"/>
    <w:rsid w:val="47857672"/>
    <w:rsid w:val="483A434D"/>
    <w:rsid w:val="48656B91"/>
    <w:rsid w:val="486A0E9C"/>
    <w:rsid w:val="48735F1D"/>
    <w:rsid w:val="491B3397"/>
    <w:rsid w:val="492E29AF"/>
    <w:rsid w:val="496149D6"/>
    <w:rsid w:val="496304C7"/>
    <w:rsid w:val="496A4929"/>
    <w:rsid w:val="49A224D0"/>
    <w:rsid w:val="49FB517E"/>
    <w:rsid w:val="4A243541"/>
    <w:rsid w:val="4B297DA8"/>
    <w:rsid w:val="4B2F13AD"/>
    <w:rsid w:val="4B3769A6"/>
    <w:rsid w:val="4B917B5A"/>
    <w:rsid w:val="4BAF093A"/>
    <w:rsid w:val="4BC717E6"/>
    <w:rsid w:val="4C6835B8"/>
    <w:rsid w:val="4C7721C2"/>
    <w:rsid w:val="4CF61AC5"/>
    <w:rsid w:val="4D0E1B22"/>
    <w:rsid w:val="4D145084"/>
    <w:rsid w:val="4D150F80"/>
    <w:rsid w:val="4D1E5EBB"/>
    <w:rsid w:val="4D6D48B6"/>
    <w:rsid w:val="4D83336D"/>
    <w:rsid w:val="4DBE1B95"/>
    <w:rsid w:val="4E3F78BF"/>
    <w:rsid w:val="4E4B3ED1"/>
    <w:rsid w:val="4EA049FD"/>
    <w:rsid w:val="4EBE04F7"/>
    <w:rsid w:val="4EE928CD"/>
    <w:rsid w:val="4F0D20CD"/>
    <w:rsid w:val="4F606393"/>
    <w:rsid w:val="4FCF621D"/>
    <w:rsid w:val="4FE56A37"/>
    <w:rsid w:val="50036431"/>
    <w:rsid w:val="502C084D"/>
    <w:rsid w:val="504078FF"/>
    <w:rsid w:val="504D09B8"/>
    <w:rsid w:val="50A131F1"/>
    <w:rsid w:val="50A843C8"/>
    <w:rsid w:val="50D92BB4"/>
    <w:rsid w:val="50EF27FB"/>
    <w:rsid w:val="51360CCB"/>
    <w:rsid w:val="51B44CCB"/>
    <w:rsid w:val="51EA24C8"/>
    <w:rsid w:val="52305323"/>
    <w:rsid w:val="52B01298"/>
    <w:rsid w:val="52D92ACB"/>
    <w:rsid w:val="52EC5FDF"/>
    <w:rsid w:val="53352F3A"/>
    <w:rsid w:val="53634441"/>
    <w:rsid w:val="53F36F74"/>
    <w:rsid w:val="54B06862"/>
    <w:rsid w:val="54EF42ED"/>
    <w:rsid w:val="55632CAF"/>
    <w:rsid w:val="557C2D1F"/>
    <w:rsid w:val="557F6A69"/>
    <w:rsid w:val="55D10B7A"/>
    <w:rsid w:val="55D16F01"/>
    <w:rsid w:val="56087561"/>
    <w:rsid w:val="56672B2B"/>
    <w:rsid w:val="56A20AD7"/>
    <w:rsid w:val="56E6645C"/>
    <w:rsid w:val="57060E54"/>
    <w:rsid w:val="575214A1"/>
    <w:rsid w:val="57D7362E"/>
    <w:rsid w:val="5809304C"/>
    <w:rsid w:val="5868063B"/>
    <w:rsid w:val="58D46128"/>
    <w:rsid w:val="598676D6"/>
    <w:rsid w:val="59AD7F51"/>
    <w:rsid w:val="59CE5DCD"/>
    <w:rsid w:val="59E97299"/>
    <w:rsid w:val="5A046F04"/>
    <w:rsid w:val="5A1C7877"/>
    <w:rsid w:val="5A580C7C"/>
    <w:rsid w:val="5A5C1A78"/>
    <w:rsid w:val="5A724276"/>
    <w:rsid w:val="5A7836D3"/>
    <w:rsid w:val="5AB71C7B"/>
    <w:rsid w:val="5ABB2DE7"/>
    <w:rsid w:val="5B7F5C61"/>
    <w:rsid w:val="5BF166F0"/>
    <w:rsid w:val="5C760443"/>
    <w:rsid w:val="5CB10716"/>
    <w:rsid w:val="5CBA17D1"/>
    <w:rsid w:val="5CE15F3D"/>
    <w:rsid w:val="5CF56FEC"/>
    <w:rsid w:val="5CFC734B"/>
    <w:rsid w:val="5D0D6784"/>
    <w:rsid w:val="5D2E4802"/>
    <w:rsid w:val="5D907E05"/>
    <w:rsid w:val="5DA843FB"/>
    <w:rsid w:val="5DED0F4B"/>
    <w:rsid w:val="5E103592"/>
    <w:rsid w:val="5E706686"/>
    <w:rsid w:val="5E924759"/>
    <w:rsid w:val="5EE45044"/>
    <w:rsid w:val="5F077562"/>
    <w:rsid w:val="5F09639B"/>
    <w:rsid w:val="5F8C15F2"/>
    <w:rsid w:val="5F9D2F74"/>
    <w:rsid w:val="5F9D487A"/>
    <w:rsid w:val="60650830"/>
    <w:rsid w:val="60A62D05"/>
    <w:rsid w:val="61213816"/>
    <w:rsid w:val="613A3106"/>
    <w:rsid w:val="616E6458"/>
    <w:rsid w:val="61DA4113"/>
    <w:rsid w:val="61E34910"/>
    <w:rsid w:val="61E92F16"/>
    <w:rsid w:val="61F5214B"/>
    <w:rsid w:val="61FA0D40"/>
    <w:rsid w:val="61FA2FAE"/>
    <w:rsid w:val="620D0F71"/>
    <w:rsid w:val="622002C3"/>
    <w:rsid w:val="62E24CD0"/>
    <w:rsid w:val="633B2704"/>
    <w:rsid w:val="635E1BC4"/>
    <w:rsid w:val="63922A94"/>
    <w:rsid w:val="63C74A17"/>
    <w:rsid w:val="63FF2EBB"/>
    <w:rsid w:val="6437480B"/>
    <w:rsid w:val="64776D82"/>
    <w:rsid w:val="64A21E65"/>
    <w:rsid w:val="64DC6743"/>
    <w:rsid w:val="65141505"/>
    <w:rsid w:val="65412582"/>
    <w:rsid w:val="655D6439"/>
    <w:rsid w:val="658579B6"/>
    <w:rsid w:val="66560D22"/>
    <w:rsid w:val="666939E4"/>
    <w:rsid w:val="66F800F4"/>
    <w:rsid w:val="67211033"/>
    <w:rsid w:val="6789297B"/>
    <w:rsid w:val="683C57FD"/>
    <w:rsid w:val="68407262"/>
    <w:rsid w:val="684B462C"/>
    <w:rsid w:val="68881C31"/>
    <w:rsid w:val="688F0F6B"/>
    <w:rsid w:val="68B0031F"/>
    <w:rsid w:val="68F42194"/>
    <w:rsid w:val="68FA57D8"/>
    <w:rsid w:val="68FD5785"/>
    <w:rsid w:val="692C1D15"/>
    <w:rsid w:val="69400FAA"/>
    <w:rsid w:val="69AD76D2"/>
    <w:rsid w:val="6A0B2134"/>
    <w:rsid w:val="6A1E6ABE"/>
    <w:rsid w:val="6A406102"/>
    <w:rsid w:val="6A600FF9"/>
    <w:rsid w:val="6A96660F"/>
    <w:rsid w:val="6AD5532F"/>
    <w:rsid w:val="6B0E1F78"/>
    <w:rsid w:val="6B3914B3"/>
    <w:rsid w:val="6B45715B"/>
    <w:rsid w:val="6B5B46E4"/>
    <w:rsid w:val="6B5D2DA9"/>
    <w:rsid w:val="6B7A528A"/>
    <w:rsid w:val="6B7F2603"/>
    <w:rsid w:val="6B8961F5"/>
    <w:rsid w:val="6BF92D6D"/>
    <w:rsid w:val="6C0D6D1A"/>
    <w:rsid w:val="6C5F7086"/>
    <w:rsid w:val="6C637DBE"/>
    <w:rsid w:val="6C6A19BB"/>
    <w:rsid w:val="6CC61037"/>
    <w:rsid w:val="6CCF4A81"/>
    <w:rsid w:val="6CEB7E46"/>
    <w:rsid w:val="6D1A23E3"/>
    <w:rsid w:val="6D3A2479"/>
    <w:rsid w:val="6D592C13"/>
    <w:rsid w:val="6D806122"/>
    <w:rsid w:val="6DFE5138"/>
    <w:rsid w:val="6E9B2C97"/>
    <w:rsid w:val="6EA57ADF"/>
    <w:rsid w:val="6ECB651C"/>
    <w:rsid w:val="6ED60A51"/>
    <w:rsid w:val="6F0F3100"/>
    <w:rsid w:val="6F492E5A"/>
    <w:rsid w:val="6F501580"/>
    <w:rsid w:val="6F8373A4"/>
    <w:rsid w:val="6F846365"/>
    <w:rsid w:val="6FCE2926"/>
    <w:rsid w:val="6FE969BF"/>
    <w:rsid w:val="6FFD3C03"/>
    <w:rsid w:val="70174CF2"/>
    <w:rsid w:val="70404ABB"/>
    <w:rsid w:val="70574881"/>
    <w:rsid w:val="70A94363"/>
    <w:rsid w:val="70D65870"/>
    <w:rsid w:val="70EC6FE6"/>
    <w:rsid w:val="712730A7"/>
    <w:rsid w:val="71282B4B"/>
    <w:rsid w:val="713F45B7"/>
    <w:rsid w:val="719611C1"/>
    <w:rsid w:val="72594229"/>
    <w:rsid w:val="728131B9"/>
    <w:rsid w:val="72A378D8"/>
    <w:rsid w:val="72A9250D"/>
    <w:rsid w:val="72D80564"/>
    <w:rsid w:val="72E65EA2"/>
    <w:rsid w:val="73141E1D"/>
    <w:rsid w:val="731636B8"/>
    <w:rsid w:val="735803AB"/>
    <w:rsid w:val="735A259A"/>
    <w:rsid w:val="735A39CB"/>
    <w:rsid w:val="737836DA"/>
    <w:rsid w:val="73A90135"/>
    <w:rsid w:val="73B61C86"/>
    <w:rsid w:val="73CE6AF9"/>
    <w:rsid w:val="73F4012A"/>
    <w:rsid w:val="743C1FB5"/>
    <w:rsid w:val="74446D5F"/>
    <w:rsid w:val="74451034"/>
    <w:rsid w:val="7447504F"/>
    <w:rsid w:val="74547F6A"/>
    <w:rsid w:val="75440291"/>
    <w:rsid w:val="75BD7438"/>
    <w:rsid w:val="75E83968"/>
    <w:rsid w:val="75E84022"/>
    <w:rsid w:val="76277FE4"/>
    <w:rsid w:val="7683092C"/>
    <w:rsid w:val="76A215D7"/>
    <w:rsid w:val="76DD4F9D"/>
    <w:rsid w:val="77056602"/>
    <w:rsid w:val="770B4B5C"/>
    <w:rsid w:val="77277EB0"/>
    <w:rsid w:val="774626EC"/>
    <w:rsid w:val="776F0193"/>
    <w:rsid w:val="77CC2CF9"/>
    <w:rsid w:val="77E77EDE"/>
    <w:rsid w:val="78236589"/>
    <w:rsid w:val="78245695"/>
    <w:rsid w:val="78804BAA"/>
    <w:rsid w:val="7889110F"/>
    <w:rsid w:val="78B14624"/>
    <w:rsid w:val="78B62330"/>
    <w:rsid w:val="791A5DF9"/>
    <w:rsid w:val="79292997"/>
    <w:rsid w:val="79692F8D"/>
    <w:rsid w:val="797E23EE"/>
    <w:rsid w:val="79E12F8B"/>
    <w:rsid w:val="7A14558D"/>
    <w:rsid w:val="7A6E354B"/>
    <w:rsid w:val="7A867391"/>
    <w:rsid w:val="7A955AA3"/>
    <w:rsid w:val="7ACC6966"/>
    <w:rsid w:val="7AD62FF1"/>
    <w:rsid w:val="7B105AE3"/>
    <w:rsid w:val="7B110E84"/>
    <w:rsid w:val="7B8941D9"/>
    <w:rsid w:val="7B905528"/>
    <w:rsid w:val="7BBD5213"/>
    <w:rsid w:val="7C025EBB"/>
    <w:rsid w:val="7C2D18C4"/>
    <w:rsid w:val="7C9E7DBD"/>
    <w:rsid w:val="7CDC32F2"/>
    <w:rsid w:val="7CEE2885"/>
    <w:rsid w:val="7CEF4CB3"/>
    <w:rsid w:val="7CFF205D"/>
    <w:rsid w:val="7D085FA3"/>
    <w:rsid w:val="7D6F4C70"/>
    <w:rsid w:val="7DB0662E"/>
    <w:rsid w:val="7DC66904"/>
    <w:rsid w:val="7DF34FE9"/>
    <w:rsid w:val="7DFF7A8B"/>
    <w:rsid w:val="7E6A77B1"/>
    <w:rsid w:val="7E8A5703"/>
    <w:rsid w:val="7F1B13A1"/>
    <w:rsid w:val="7F6973DB"/>
    <w:rsid w:val="7F6F6A5C"/>
    <w:rsid w:val="7F720515"/>
    <w:rsid w:val="7F7D5AFD"/>
    <w:rsid w:val="7F8A012C"/>
    <w:rsid w:val="7F9D34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114"/>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103"/>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2">
    <w:name w:val="Default Paragraph Font"/>
    <w:qFormat/>
    <w:uiPriority w:val="0"/>
  </w:style>
  <w:style w:type="table" w:default="1" w:styleId="6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Body Text First Indent"/>
    <w:basedOn w:val="2"/>
    <w:next w:val="1"/>
    <w:qFormat/>
    <w:uiPriority w:val="0"/>
    <w:pPr>
      <w:spacing w:line="360" w:lineRule="auto"/>
      <w:ind w:firstLine="420"/>
    </w:pPr>
    <w:rPr>
      <w:rFonts w:ascii="宋体" w:hAnsi="宋体"/>
      <w:sz w:val="24"/>
    </w:r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7">
    <w:name w:val="Normal Indent"/>
    <w:basedOn w:val="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beforeLines="0"/>
    </w:pPr>
    <w:rPr>
      <w:rFonts w:ascii="Arial" w:hAnsi="Arial"/>
      <w:sz w:val="24"/>
    </w:rPr>
  </w:style>
  <w:style w:type="paragraph" w:styleId="21">
    <w:name w:val="annotation text"/>
    <w:basedOn w:val="1"/>
    <w:link w:val="75"/>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afterLines="0" w:afterAutospacing="0" w:line="360" w:lineRule="auto"/>
    </w:pPr>
    <w:rPr>
      <w:sz w:val="16"/>
    </w:rPr>
  </w:style>
  <w:style w:type="paragraph" w:styleId="23">
    <w:name w:val="List Bullet 3"/>
    <w:basedOn w:val="1"/>
    <w:qFormat/>
    <w:uiPriority w:val="0"/>
    <w:pPr>
      <w:numPr>
        <w:ilvl w:val="0"/>
        <w:numId w:val="3"/>
      </w:numPr>
      <w:adjustRightInd w:val="0"/>
      <w:snapToGrid w:val="0"/>
      <w:spacing w:line="360" w:lineRule="auto"/>
    </w:pPr>
    <w:rPr>
      <w:sz w:val="24"/>
    </w:rPr>
  </w:style>
  <w:style w:type="paragraph" w:styleId="24">
    <w:name w:val="Body Text Indent"/>
    <w:basedOn w:val="1"/>
    <w:next w:val="25"/>
    <w:link w:val="71"/>
    <w:qFormat/>
    <w:uiPriority w:val="0"/>
    <w:pPr>
      <w:spacing w:line="700" w:lineRule="exact"/>
      <w:ind w:left="960"/>
    </w:pPr>
    <w:rPr>
      <w:sz w:val="44"/>
    </w:rPr>
  </w:style>
  <w:style w:type="paragraph" w:customStyle="1" w:styleId="25">
    <w:name w:val="目录 71"/>
    <w:basedOn w:val="1"/>
    <w:next w:val="1"/>
    <w:qFormat/>
    <w:uiPriority w:val="0"/>
    <w:pPr>
      <w:ind w:left="2520"/>
    </w:p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afterLines="0" w:afterAutospacing="0" w:line="360" w:lineRule="auto"/>
      <w:ind w:left="420" w:leftChars="200"/>
    </w:pPr>
    <w:rPr>
      <w:sz w:val="24"/>
    </w:rPr>
  </w:style>
  <w:style w:type="paragraph" w:styleId="29">
    <w:name w:val="List Bullet 2"/>
    <w:basedOn w:val="1"/>
    <w:qFormat/>
    <w:uiPriority w:val="0"/>
    <w:pPr>
      <w:numPr>
        <w:ilvl w:val="0"/>
        <w:numId w:val="4"/>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rPr>
      <w:rFonts w:ascii="Times New Roman" w:hAnsi="Times New Roman" w:eastAsia="宋体"/>
      <w:sz w:val="24"/>
    </w:r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6"/>
    <w:qFormat/>
    <w:uiPriority w:val="0"/>
  </w:style>
  <w:style w:type="paragraph" w:styleId="35">
    <w:name w:val="Body Text Indent 2"/>
    <w:basedOn w:val="1"/>
    <w:link w:val="106"/>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next w:val="38"/>
    <w:qFormat/>
    <w:uiPriority w:val="0"/>
    <w:pPr>
      <w:tabs>
        <w:tab w:val="center" w:pos="4153"/>
        <w:tab w:val="right" w:pos="8306"/>
      </w:tabs>
      <w:snapToGrid w:val="0"/>
      <w:jc w:val="left"/>
    </w:pPr>
    <w:rPr>
      <w:sz w:val="18"/>
    </w:rPr>
  </w:style>
  <w:style w:type="paragraph" w:customStyle="1" w:styleId="38">
    <w:name w:val="索引 51"/>
    <w:basedOn w:val="1"/>
    <w:next w:val="1"/>
    <w:qFormat/>
    <w:uiPriority w:val="99"/>
    <w:pPr>
      <w:ind w:left="1680"/>
    </w:pPr>
    <w:rPr>
      <w:rFonts w:ascii="Calibri" w:hAnsi="Calibri"/>
    </w:rPr>
  </w:style>
  <w:style w:type="paragraph" w:styleId="39">
    <w:name w:val="header"/>
    <w:basedOn w:val="1"/>
    <w:link w:val="97"/>
    <w:qFormat/>
    <w:uiPriority w:val="99"/>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2">
    <w:name w:val="toc 4"/>
    <w:basedOn w:val="1"/>
    <w:next w:val="1"/>
    <w:qFormat/>
    <w:uiPriority w:val="0"/>
    <w:pPr>
      <w:ind w:left="1260" w:leftChars="600"/>
    </w:pPr>
  </w:style>
  <w:style w:type="paragraph" w:styleId="43">
    <w:name w:val="Subtitle"/>
    <w:basedOn w:val="1"/>
    <w:qFormat/>
    <w:uiPriority w:val="0"/>
    <w:pPr>
      <w:autoSpaceDE w:val="0"/>
      <w:autoSpaceDN w:val="0"/>
      <w:spacing w:before="240" w:beforeLines="0" w:beforeAutospacing="0" w:after="60" w:afterLines="0" w:afterAutospacing="0" w:line="312" w:lineRule="auto"/>
      <w:ind w:left="0" w:right="0"/>
      <w:jc w:val="center"/>
      <w:outlineLvl w:val="1"/>
    </w:pPr>
    <w:rPr>
      <w:rFonts w:ascii="Arial" w:hAnsi="Arial" w:eastAsia="宋体" w:cs="宋体"/>
      <w:b/>
      <w:kern w:val="28"/>
      <w:sz w:val="32"/>
      <w:szCs w:val="22"/>
      <w:lang w:val="zh-CN" w:bidi="zh-CN"/>
    </w:rPr>
  </w:style>
  <w:style w:type="paragraph" w:styleId="44">
    <w:name w:val="footnote text"/>
    <w:basedOn w:val="1"/>
    <w:link w:val="111"/>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ind w:left="420" w:leftChars="200"/>
    </w:pPr>
    <w:rPr>
      <w:rFonts w:ascii="Times New Roman" w:hAnsi="Times New Roman" w:eastAsia="宋体"/>
      <w:sz w:val="24"/>
    </w:r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afterLines="0" w:afterAutospacing="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5">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8">
    <w:name w:val="annotation subject"/>
    <w:basedOn w:val="21"/>
    <w:next w:val="21"/>
    <w:link w:val="110"/>
    <w:qFormat/>
    <w:uiPriority w:val="0"/>
    <w:pPr>
      <w:adjustRightInd/>
      <w:spacing w:line="240" w:lineRule="auto"/>
      <w:textAlignment w:val="auto"/>
    </w:pPr>
  </w:style>
  <w:style w:type="paragraph" w:styleId="59">
    <w:name w:val="Body Text First Indent 2"/>
    <w:basedOn w:val="24"/>
    <w:next w:val="3"/>
    <w:link w:val="113"/>
    <w:qFormat/>
    <w:uiPriority w:val="0"/>
    <w:pPr>
      <w:spacing w:after="120" w:afterLines="0" w:line="240" w:lineRule="auto"/>
      <w:ind w:left="420" w:leftChars="200" w:firstLine="420" w:firstLineChars="200"/>
    </w:p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rPr>
  </w:style>
  <w:style w:type="character" w:styleId="64">
    <w:name w:val="page number"/>
    <w:basedOn w:val="62"/>
    <w:qFormat/>
    <w:uiPriority w:val="0"/>
  </w:style>
  <w:style w:type="character" w:styleId="65">
    <w:name w:val="FollowedHyperlink"/>
    <w:qFormat/>
    <w:uiPriority w:val="0"/>
    <w:rPr>
      <w:color w:val="003366"/>
      <w:u w:val="none"/>
    </w:rPr>
  </w:style>
  <w:style w:type="character" w:styleId="66">
    <w:name w:val="Emphasis"/>
    <w:qFormat/>
    <w:uiPriority w:val="0"/>
    <w:rPr>
      <w:i/>
    </w:rPr>
  </w:style>
  <w:style w:type="character" w:styleId="67">
    <w:name w:val="Hyperlink"/>
    <w:qFormat/>
    <w:uiPriority w:val="99"/>
    <w:rPr>
      <w:color w:val="003366"/>
      <w:u w:val="non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paragraph" w:customStyle="1" w:styleId="7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71">
    <w:name w:val="正文文本缩进 Char"/>
    <w:link w:val="24"/>
    <w:qFormat/>
    <w:uiPriority w:val="0"/>
    <w:rPr>
      <w:kern w:val="2"/>
      <w:sz w:val="44"/>
    </w:rPr>
  </w:style>
  <w:style w:type="character" w:customStyle="1" w:styleId="72">
    <w:name w:val=" Char Char3"/>
    <w:qFormat/>
    <w:uiPriority w:val="0"/>
    <w:rPr>
      <w:rFonts w:eastAsia="宋体"/>
      <w:kern w:val="2"/>
      <w:sz w:val="18"/>
      <w:lang w:val="en-US" w:eastAsia="zh-CN"/>
    </w:rPr>
  </w:style>
  <w:style w:type="character" w:customStyle="1" w:styleId="73">
    <w:name w:val="Table Text Char1 Char"/>
    <w:qFormat/>
    <w:uiPriority w:val="0"/>
    <w:rPr>
      <w:rFonts w:ascii="Arial" w:hAnsi="Arial"/>
      <w:kern w:val="2"/>
      <w:sz w:val="18"/>
      <w:lang w:val="en-US" w:eastAsia="zh-CN" w:bidi="ar-SA"/>
    </w:rPr>
  </w:style>
  <w:style w:type="character" w:customStyle="1" w:styleId="74">
    <w:name w:val="v151"/>
    <w:qFormat/>
    <w:uiPriority w:val="0"/>
    <w:rPr>
      <w:sz w:val="18"/>
    </w:rPr>
  </w:style>
  <w:style w:type="character" w:customStyle="1" w:styleId="75">
    <w:name w:val="批注文字 Char"/>
    <w:link w:val="21"/>
    <w:qFormat/>
    <w:uiPriority w:val="0"/>
    <w:rPr>
      <w:sz w:val="24"/>
    </w:rPr>
  </w:style>
  <w:style w:type="character" w:customStyle="1" w:styleId="76">
    <w:name w:val="日期 Char"/>
    <w:link w:val="34"/>
    <w:qFormat/>
    <w:uiPriority w:val="0"/>
    <w:rPr>
      <w:kern w:val="2"/>
      <w:sz w:val="28"/>
    </w:rPr>
  </w:style>
  <w:style w:type="character" w:customStyle="1" w:styleId="77">
    <w:name w:val=" Char Char5"/>
    <w:qFormat/>
    <w:uiPriority w:val="0"/>
    <w:rPr>
      <w:rFonts w:ascii="Arial" w:hAnsi="Arial" w:eastAsia="宋体"/>
      <w:b/>
      <w:smallCaps/>
      <w:kern w:val="28"/>
      <w:sz w:val="36"/>
      <w:lang w:val="en-US" w:eastAsia="en-US"/>
    </w:rPr>
  </w:style>
  <w:style w:type="character" w:customStyle="1" w:styleId="78">
    <w:name w:val="bsharetext"/>
    <w:basedOn w:val="62"/>
    <w:qFormat/>
    <w:uiPriority w:val="0"/>
  </w:style>
  <w:style w:type="character" w:customStyle="1" w:styleId="79">
    <w:name w:val="font11"/>
    <w:qFormat/>
    <w:uiPriority w:val="0"/>
    <w:rPr>
      <w:rFonts w:hint="eastAsia" w:ascii="方正仿宋_GBK" w:hAnsi="方正仿宋_GBK" w:eastAsia="方正仿宋_GBK" w:cs="方正仿宋_GBK"/>
      <w:b/>
      <w:color w:val="000000"/>
      <w:sz w:val="21"/>
      <w:szCs w:val="21"/>
      <w:u w:val="none"/>
    </w:rPr>
  </w:style>
  <w:style w:type="character" w:customStyle="1" w:styleId="80">
    <w:name w:val="样式 宋体"/>
    <w:qFormat/>
    <w:uiPriority w:val="0"/>
    <w:rPr>
      <w:rFonts w:ascii="宋体" w:hAnsi="宋体" w:eastAsia="宋体"/>
      <w:sz w:val="28"/>
    </w:rPr>
  </w:style>
  <w:style w:type="character" w:customStyle="1" w:styleId="81">
    <w:name w:val="language"/>
    <w:basedOn w:val="62"/>
    <w:qFormat/>
    <w:uiPriority w:val="0"/>
  </w:style>
  <w:style w:type="character" w:customStyle="1" w:styleId="82">
    <w:name w:val="Table Text Char"/>
    <w:link w:val="83"/>
    <w:qFormat/>
    <w:uiPriority w:val="0"/>
    <w:rPr>
      <w:rFonts w:ascii="Arial" w:hAnsi="Arial"/>
      <w:kern w:val="2"/>
      <w:sz w:val="18"/>
      <w:lang w:val="en-US" w:eastAsia="zh-CN" w:bidi="ar-SA"/>
    </w:rPr>
  </w:style>
  <w:style w:type="paragraph" w:customStyle="1" w:styleId="83">
    <w:name w:val="Table Text"/>
    <w:link w:val="82"/>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Table Heading Char Char"/>
    <w:qFormat/>
    <w:uiPriority w:val="0"/>
    <w:rPr>
      <w:rFonts w:ascii="Arial" w:hAnsi="Arial" w:eastAsia="黑体"/>
      <w:kern w:val="2"/>
      <w:sz w:val="18"/>
      <w:lang w:val="en-US" w:eastAsia="zh-CN"/>
    </w:rPr>
  </w:style>
  <w:style w:type="character" w:customStyle="1" w:styleId="85">
    <w:name w:val="font1"/>
    <w:qFormat/>
    <w:uiPriority w:val="0"/>
    <w:rPr>
      <w:color w:val="000000"/>
      <w:sz w:val="18"/>
    </w:rPr>
  </w:style>
  <w:style w:type="character" w:customStyle="1" w:styleId="86">
    <w:name w:val="H2 Char"/>
    <w:qFormat/>
    <w:uiPriority w:val="0"/>
    <w:rPr>
      <w:rFonts w:ascii="Arial" w:hAnsi="Arial" w:eastAsia="宋体"/>
      <w:kern w:val="2"/>
      <w:sz w:val="28"/>
      <w:lang w:val="en-US" w:eastAsia="zh-CN"/>
    </w:rPr>
  </w:style>
  <w:style w:type="character" w:customStyle="1" w:styleId="87">
    <w:name w:val="moduletitle_menuitemsel2"/>
    <w:qFormat/>
    <w:uiPriority w:val="0"/>
    <w:rPr>
      <w:rFonts w:ascii="Tahoma" w:hAnsi="Tahoma" w:eastAsia="Tahoma" w:cs="Tahoma"/>
      <w:b/>
      <w:color w:val="000000"/>
      <w:sz w:val="18"/>
      <w:szCs w:val="18"/>
    </w:rPr>
  </w:style>
  <w:style w:type="character" w:customStyle="1" w:styleId="88">
    <w:name w:val=" Char Char7"/>
    <w:qFormat/>
    <w:uiPriority w:val="0"/>
    <w:rPr>
      <w:rFonts w:ascii="宋体" w:hAnsi="宋体" w:eastAsia="宋体"/>
      <w:kern w:val="2"/>
      <w:sz w:val="28"/>
    </w:rPr>
  </w:style>
  <w:style w:type="character" w:customStyle="1" w:styleId="89">
    <w:name w:val="top-det1"/>
    <w:qFormat/>
    <w:uiPriority w:val="0"/>
    <w:rPr>
      <w:b/>
      <w:color w:val="000000"/>
    </w:rPr>
  </w:style>
  <w:style w:type="character" w:customStyle="1" w:styleId="90">
    <w:name w:val="crowed11"/>
    <w:qFormat/>
    <w:uiPriority w:val="0"/>
    <w:rPr>
      <w:rFonts w:hint="default" w:ascii="_x000B__x000C_" w:hAnsi="_x000B__x000C_"/>
      <w:sz w:val="24"/>
    </w:rPr>
  </w:style>
  <w:style w:type="character" w:customStyle="1" w:styleId="91">
    <w:name w:val="小 Char"/>
    <w:qFormat/>
    <w:uiPriority w:val="0"/>
    <w:rPr>
      <w:rFonts w:ascii="宋体" w:hAnsi="Courier New" w:eastAsia="宋体"/>
      <w:kern w:val="2"/>
      <w:sz w:val="21"/>
      <w:lang w:val="en-US" w:eastAsia="zh-CN" w:bidi="ar-SA"/>
    </w:rPr>
  </w:style>
  <w:style w:type="character" w:customStyle="1" w:styleId="92">
    <w:name w:val=" Char Char2"/>
    <w:qFormat/>
    <w:uiPriority w:val="0"/>
    <w:rPr>
      <w:rFonts w:eastAsia="宋体"/>
      <w:kern w:val="2"/>
      <w:sz w:val="18"/>
      <w:lang w:val="en-US" w:eastAsia="zh-CN"/>
    </w:rPr>
  </w:style>
  <w:style w:type="character" w:customStyle="1" w:styleId="93">
    <w:name w:val=" Char Char"/>
    <w:qFormat/>
    <w:uiPriority w:val="0"/>
    <w:rPr>
      <w:rFonts w:ascii="宋体" w:hAnsi="宋体" w:eastAsia="宋体"/>
      <w:kern w:val="2"/>
      <w:sz w:val="24"/>
      <w:lang w:val="en-US" w:eastAsia="zh-CN" w:bidi="ar-SA"/>
    </w:rPr>
  </w:style>
  <w:style w:type="character" w:customStyle="1" w:styleId="94">
    <w:name w:val="moduletitle_menuitemsel"/>
    <w:qFormat/>
    <w:uiPriority w:val="0"/>
    <w:rPr>
      <w:rFonts w:ascii="Tahoma" w:hAnsi="Tahoma" w:eastAsia="Tahoma" w:cs="Tahoma"/>
      <w:b/>
      <w:color w:val="000000"/>
      <w:sz w:val="18"/>
      <w:szCs w:val="18"/>
    </w:rPr>
  </w:style>
  <w:style w:type="character" w:customStyle="1" w:styleId="95">
    <w:name w:val="标书正文:  0.74 厘米 Char1"/>
    <w:qFormat/>
    <w:uiPriority w:val="0"/>
    <w:rPr>
      <w:rFonts w:eastAsia="宋体"/>
      <w:kern w:val="2"/>
      <w:sz w:val="24"/>
      <w:lang w:val="en-US" w:eastAsia="zh-CN"/>
    </w:rPr>
  </w:style>
  <w:style w:type="character" w:customStyle="1" w:styleId="96">
    <w:name w:val=" Char Char11"/>
    <w:qFormat/>
    <w:uiPriority w:val="0"/>
    <w:rPr>
      <w:rFonts w:ascii="宋体"/>
      <w:kern w:val="2"/>
      <w:sz w:val="28"/>
    </w:rPr>
  </w:style>
  <w:style w:type="character" w:customStyle="1" w:styleId="97">
    <w:name w:val="页眉 Char"/>
    <w:link w:val="39"/>
    <w:qFormat/>
    <w:uiPriority w:val="99"/>
    <w:rPr>
      <w:kern w:val="2"/>
      <w:sz w:val="18"/>
    </w:rPr>
  </w:style>
  <w:style w:type="character" w:customStyle="1" w:styleId="98">
    <w:name w:val="title_emph1"/>
    <w:qFormat/>
    <w:uiPriority w:val="0"/>
    <w:rPr>
      <w:rFonts w:hint="default" w:ascii="Arial" w:hAnsi="Arial"/>
      <w:b/>
      <w:sz w:val="20"/>
    </w:rPr>
  </w:style>
  <w:style w:type="character" w:customStyle="1" w:styleId="99">
    <w:name w:val="content-white1"/>
    <w:qFormat/>
    <w:uiPriority w:val="0"/>
    <w:rPr>
      <w:rFonts w:ascii="_x000B__x000C_" w:hAnsi="_x000B__x000C_"/>
      <w:color w:val="auto"/>
      <w:sz w:val="18"/>
      <w:u w:val="none"/>
    </w:rPr>
  </w:style>
  <w:style w:type="character" w:customStyle="1" w:styleId="100">
    <w:name w:val="Table Text Char Char Char Char"/>
    <w:link w:val="101"/>
    <w:qFormat/>
    <w:uiPriority w:val="0"/>
    <w:rPr>
      <w:rFonts w:ascii="Arial" w:hAnsi="Arial"/>
      <w:kern w:val="2"/>
      <w:sz w:val="18"/>
      <w:lang w:val="en-US" w:eastAsia="zh-CN" w:bidi="ar-SA"/>
    </w:rPr>
  </w:style>
  <w:style w:type="paragraph" w:customStyle="1" w:styleId="101">
    <w:name w:val="Table Text Char Char Char"/>
    <w:link w:val="100"/>
    <w:qFormat/>
    <w:uiPriority w:val="0"/>
    <w:pPr>
      <w:snapToGrid w:val="0"/>
      <w:spacing w:before="80" w:after="80"/>
    </w:pPr>
    <w:rPr>
      <w:rFonts w:ascii="Arial" w:hAnsi="Arial" w:eastAsia="宋体" w:cs="Times New Roman"/>
      <w:kern w:val="2"/>
      <w:sz w:val="18"/>
      <w:lang w:val="en-US" w:eastAsia="zh-CN" w:bidi="ar-SA"/>
    </w:rPr>
  </w:style>
  <w:style w:type="character" w:customStyle="1" w:styleId="102">
    <w:name w:val="正文 + 三号 Char"/>
    <w:qFormat/>
    <w:uiPriority w:val="0"/>
    <w:rPr>
      <w:rFonts w:eastAsia="宋体"/>
      <w:kern w:val="2"/>
      <w:sz w:val="21"/>
      <w:lang w:val="en-US" w:eastAsia="zh-CN"/>
    </w:rPr>
  </w:style>
  <w:style w:type="character" w:customStyle="1" w:styleId="103">
    <w:name w:val="标题 3 Char"/>
    <w:link w:val="6"/>
    <w:qFormat/>
    <w:uiPriority w:val="0"/>
    <w:rPr>
      <w:rFonts w:eastAsia="宋体"/>
      <w:b/>
      <w:kern w:val="2"/>
      <w:sz w:val="32"/>
      <w:lang w:val="en-US" w:eastAsia="zh-CN"/>
    </w:rPr>
  </w:style>
  <w:style w:type="character" w:customStyle="1" w:styleId="104">
    <w:name w:val="文字 Char"/>
    <w:link w:val="105"/>
    <w:qFormat/>
    <w:uiPriority w:val="0"/>
    <w:rPr>
      <w:rFonts w:ascii="宋体"/>
      <w:kern w:val="2"/>
      <w:sz w:val="28"/>
    </w:rPr>
  </w:style>
  <w:style w:type="paragraph" w:customStyle="1" w:styleId="105">
    <w:name w:val="文字"/>
    <w:basedOn w:val="1"/>
    <w:link w:val="104"/>
    <w:qFormat/>
    <w:uiPriority w:val="0"/>
    <w:pPr>
      <w:tabs>
        <w:tab w:val="left" w:pos="8520"/>
      </w:tabs>
      <w:spacing w:line="312" w:lineRule="auto"/>
      <w:ind w:right="-210" w:firstLine="556"/>
    </w:pPr>
    <w:rPr>
      <w:rFonts w:ascii="宋体"/>
    </w:rPr>
  </w:style>
  <w:style w:type="character" w:customStyle="1" w:styleId="106">
    <w:name w:val="正文文本缩进 2 Char"/>
    <w:link w:val="35"/>
    <w:qFormat/>
    <w:uiPriority w:val="0"/>
    <w:rPr>
      <w:kern w:val="2"/>
      <w:sz w:val="28"/>
    </w:rPr>
  </w:style>
  <w:style w:type="character" w:customStyle="1" w:styleId="107">
    <w:name w:val="未命名11"/>
    <w:qFormat/>
    <w:uiPriority w:val="0"/>
    <w:rPr>
      <w:color w:val="77FFFF"/>
      <w:sz w:val="24"/>
    </w:rPr>
  </w:style>
  <w:style w:type="character" w:customStyle="1" w:styleId="108">
    <w:name w:val=" Char Char4"/>
    <w:qFormat/>
    <w:uiPriority w:val="0"/>
    <w:rPr>
      <w:rFonts w:eastAsia="宋体"/>
      <w:b/>
      <w:kern w:val="2"/>
      <w:sz w:val="21"/>
      <w:lang w:val="en-US" w:eastAsia="zh-CN"/>
    </w:rPr>
  </w:style>
  <w:style w:type="character" w:customStyle="1" w:styleId="109">
    <w:name w:val="language2"/>
    <w:basedOn w:val="62"/>
    <w:qFormat/>
    <w:uiPriority w:val="0"/>
  </w:style>
  <w:style w:type="character" w:customStyle="1" w:styleId="110">
    <w:name w:val="批注主题 Char"/>
    <w:basedOn w:val="75"/>
    <w:link w:val="58"/>
    <w:qFormat/>
    <w:uiPriority w:val="0"/>
  </w:style>
  <w:style w:type="character" w:customStyle="1" w:styleId="111">
    <w:name w:val="脚注文本 Char"/>
    <w:link w:val="44"/>
    <w:qFormat/>
    <w:uiPriority w:val="0"/>
    <w:rPr>
      <w:kern w:val="2"/>
      <w:sz w:val="18"/>
    </w:rPr>
  </w:style>
  <w:style w:type="character" w:customStyle="1" w:styleId="112">
    <w:name w:val=" Char Char6"/>
    <w:qFormat/>
    <w:uiPriority w:val="0"/>
    <w:rPr>
      <w:rFonts w:ascii="仿宋_GB2312" w:eastAsia="仿宋_GB2312"/>
      <w:kern w:val="2"/>
      <w:sz w:val="32"/>
    </w:rPr>
  </w:style>
  <w:style w:type="character" w:customStyle="1" w:styleId="113">
    <w:name w:val="正文首行缩进 2 Char"/>
    <w:basedOn w:val="71"/>
    <w:link w:val="59"/>
    <w:qFormat/>
    <w:uiPriority w:val="0"/>
  </w:style>
  <w:style w:type="character" w:customStyle="1" w:styleId="114">
    <w:name w:val="标题 2 Char"/>
    <w:basedOn w:val="62"/>
    <w:link w:val="5"/>
    <w:qFormat/>
    <w:uiPriority w:val="0"/>
    <w:rPr>
      <w:rFonts w:ascii="Arial" w:hAnsi="Arial" w:eastAsia="黑体"/>
      <w:b/>
      <w:kern w:val="2"/>
      <w:sz w:val="32"/>
    </w:rPr>
  </w:style>
  <w:style w:type="paragraph" w:customStyle="1" w:styleId="115">
    <w:name w:val="标题3——2"/>
    <w:basedOn w:val="6"/>
    <w:next w:val="3"/>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16">
    <w:name w:val="正文1"/>
    <w:basedOn w:val="1"/>
    <w:qFormat/>
    <w:uiPriority w:val="0"/>
    <w:pPr>
      <w:spacing w:line="300" w:lineRule="auto"/>
      <w:ind w:firstLine="200" w:firstLineChars="200"/>
    </w:pPr>
    <w:rPr>
      <w:sz w:val="24"/>
    </w:rPr>
  </w:style>
  <w:style w:type="paragraph" w:customStyle="1" w:styleId="117">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18">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19">
    <w:name w:val="图片文字"/>
    <w:basedOn w:val="1"/>
    <w:qFormat/>
    <w:uiPriority w:val="0"/>
    <w:pPr>
      <w:spacing w:line="240" w:lineRule="atLeast"/>
      <w:jc w:val="center"/>
    </w:pPr>
    <w:rPr>
      <w:sz w:val="21"/>
    </w:rPr>
  </w:style>
  <w:style w:type="paragraph" w:customStyle="1" w:styleId="12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21">
    <w:name w:val="样式 标题 6第五层条 + 三号 段前: 0.5 行"/>
    <w:basedOn w:val="9"/>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22">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23">
    <w:name w:val="操作步骤"/>
    <w:basedOn w:val="1"/>
    <w:qFormat/>
    <w:uiPriority w:val="0"/>
    <w:pPr>
      <w:numPr>
        <w:ilvl w:val="0"/>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4">
    <w:name w:val="_"/>
    <w:basedOn w:val="1"/>
    <w:qFormat/>
    <w:uiPriority w:val="0"/>
    <w:pPr>
      <w:adjustRightInd w:val="0"/>
      <w:spacing w:line="360" w:lineRule="auto"/>
      <w:ind w:left="480" w:firstLine="200" w:firstLineChars="200"/>
      <w:textAlignment w:val="baseline"/>
    </w:pPr>
    <w:rPr>
      <w:kern w:val="0"/>
      <w:sz w:val="24"/>
    </w:rPr>
  </w:style>
  <w:style w:type="paragraph" w:customStyle="1" w:styleId="125">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26">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27">
    <w:name w:val="内容标题"/>
    <w:basedOn w:val="19"/>
    <w:qFormat/>
    <w:uiPriority w:val="0"/>
    <w:rPr>
      <w:rFonts w:ascii="Tahoma" w:hAnsi="Tahoma"/>
      <w:sz w:val="24"/>
    </w:rPr>
  </w:style>
  <w:style w:type="paragraph" w:customStyle="1" w:styleId="128">
    <w:name w:val="bt"/>
    <w:basedOn w:val="1"/>
    <w:next w:val="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29">
    <w:name w:val="二级条标题"/>
    <w:basedOn w:val="130"/>
    <w:next w:val="132"/>
    <w:qFormat/>
    <w:uiPriority w:val="0"/>
    <w:pPr>
      <w:ind w:left="840"/>
      <w:outlineLvl w:val="3"/>
    </w:pPr>
  </w:style>
  <w:style w:type="paragraph" w:customStyle="1" w:styleId="130">
    <w:name w:val="一级条标题"/>
    <w:basedOn w:val="131"/>
    <w:next w:val="132"/>
    <w:qFormat/>
    <w:uiPriority w:val="0"/>
    <w:pPr>
      <w:numPr>
        <w:ilvl w:val="1"/>
        <w:numId w:val="0"/>
      </w:numPr>
      <w:spacing w:before="0" w:beforeLines="0" w:beforeAutospacing="0" w:after="0" w:afterLines="0" w:afterAutospacing="0"/>
      <w:ind w:left="525"/>
      <w:outlineLvl w:val="2"/>
    </w:pPr>
    <w:rPr>
      <w:sz w:val="21"/>
    </w:rPr>
  </w:style>
  <w:style w:type="paragraph" w:customStyle="1" w:styleId="131">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3">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34">
    <w:name w:val="样式1xz"/>
    <w:basedOn w:val="1"/>
    <w:qFormat/>
    <w:uiPriority w:val="0"/>
    <w:pPr>
      <w:tabs>
        <w:tab w:val="left" w:pos="1050"/>
        <w:tab w:val="right" w:leader="dot" w:pos="8296"/>
      </w:tabs>
    </w:pPr>
    <w:rPr>
      <w:caps/>
      <w:spacing w:val="20"/>
      <w:sz w:val="24"/>
    </w:rPr>
  </w:style>
  <w:style w:type="paragraph" w:customStyle="1" w:styleId="13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6">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37">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8">
    <w:name w:val="首行缩进 1"/>
    <w:basedOn w:val="1"/>
    <w:qFormat/>
    <w:uiPriority w:val="0"/>
    <w:pPr>
      <w:spacing w:after="120" w:afterLines="0" w:afterAutospacing="0" w:line="360" w:lineRule="auto"/>
      <w:ind w:firstLine="200" w:firstLineChars="200"/>
    </w:pPr>
    <w:rPr>
      <w:sz w:val="24"/>
    </w:rPr>
  </w:style>
  <w:style w:type="paragraph" w:customStyle="1" w:styleId="139">
    <w:name w:val="样式 标题 1 + 居中 段前: 6 磅 段后: 6 磅 行距: 1.5 倍行距"/>
    <w:basedOn w:val="4"/>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4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1">
    <w:name w:val="样式1"/>
    <w:basedOn w:val="7"/>
    <w:qFormat/>
    <w:uiPriority w:val="0"/>
    <w:pPr>
      <w:tabs>
        <w:tab w:val="left" w:pos="720"/>
      </w:tabs>
      <w:spacing w:before="500" w:beforeLines="0" w:beforeAutospacing="0" w:after="260" w:afterLines="0" w:afterAutospacing="0" w:line="560" w:lineRule="atLeast"/>
      <w:ind w:left="420" w:hanging="420"/>
    </w:pPr>
  </w:style>
  <w:style w:type="paragraph" w:customStyle="1" w:styleId="142">
    <w:name w:val="默认段落字体 Para Char Char Char Char Char Char Char Char Char1 Char Char Char Char"/>
    <w:basedOn w:val="1"/>
    <w:qFormat/>
    <w:uiPriority w:val="0"/>
    <w:rPr>
      <w:rFonts w:ascii="Tahoma" w:hAnsi="Tahoma"/>
      <w:sz w:val="24"/>
    </w:rPr>
  </w:style>
  <w:style w:type="paragraph" w:customStyle="1" w:styleId="14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4">
    <w:name w:val="简单回函地址"/>
    <w:basedOn w:val="1"/>
    <w:qFormat/>
    <w:uiPriority w:val="0"/>
    <w:pPr>
      <w:adjustRightInd w:val="0"/>
      <w:snapToGrid w:val="0"/>
      <w:spacing w:line="360" w:lineRule="auto"/>
    </w:pPr>
    <w:rPr>
      <w:sz w:val="24"/>
    </w:rPr>
  </w:style>
  <w:style w:type="paragraph" w:customStyle="1" w:styleId="145">
    <w:name w:val="1"/>
    <w:basedOn w:val="1"/>
    <w:next w:val="32"/>
    <w:qFormat/>
    <w:uiPriority w:val="0"/>
    <w:rPr>
      <w:rFonts w:ascii="宋体" w:hAnsi="Courier New"/>
      <w:sz w:val="21"/>
    </w:rPr>
  </w:style>
  <w:style w:type="paragraph" w:customStyle="1" w:styleId="146">
    <w:name w:val="表格文本"/>
    <w:qFormat/>
    <w:uiPriority w:val="0"/>
    <w:pPr>
      <w:tabs>
        <w:tab w:val="decimal" w:pos="0"/>
      </w:tabs>
    </w:pPr>
    <w:rPr>
      <w:rFonts w:ascii="Arial" w:hAnsi="Arial" w:eastAsia="宋体" w:cs="Times New Roman"/>
      <w:sz w:val="21"/>
      <w:lang w:val="en-US" w:eastAsia="zh-CN" w:bidi="ar-SA"/>
    </w:rPr>
  </w:style>
  <w:style w:type="paragraph" w:customStyle="1" w:styleId="14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8">
    <w:name w:val=" Char Char1 Char"/>
    <w:basedOn w:val="1"/>
    <w:qFormat/>
    <w:uiPriority w:val="0"/>
    <w:rPr>
      <w:rFonts w:ascii="Tahoma" w:hAnsi="Tahoma"/>
      <w:sz w:val="24"/>
      <w:szCs w:val="24"/>
    </w:rPr>
  </w:style>
  <w:style w:type="paragraph" w:customStyle="1" w:styleId="149">
    <w:name w:val="表文字"/>
    <w:qFormat/>
    <w:uiPriority w:val="0"/>
    <w:rPr>
      <w:rFonts w:ascii="宋体" w:hAnsi="Times New Roman" w:eastAsia="宋体" w:cs="Times New Roman"/>
      <w:kern w:val="2"/>
      <w:lang w:val="en-US" w:eastAsia="zh-CN" w:bidi="ar-SA"/>
    </w:rPr>
  </w:style>
  <w:style w:type="paragraph" w:customStyle="1" w:styleId="150">
    <w:name w:val=" Char2 Char Char Char Char Char Char"/>
    <w:basedOn w:val="1"/>
    <w:qFormat/>
    <w:uiPriority w:val="0"/>
    <w:rPr>
      <w:rFonts w:ascii="仿宋_GB2312"/>
      <w:b/>
      <w:sz w:val="30"/>
    </w:rPr>
  </w:style>
  <w:style w:type="paragraph" w:customStyle="1" w:styleId="151">
    <w:name w:val="样式 标题 1章标题Heading 0Section HeadPIM 1H1h11st levell11H1..."/>
    <w:basedOn w:val="4"/>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5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4">
    <w:name w:val="Style Heading 3h3Heading 3 - oldLevel 3 HeadH3level_3PIM 3se..."/>
    <w:basedOn w:val="6"/>
    <w:qFormat/>
    <w:uiPriority w:val="0"/>
    <w:pPr>
      <w:numPr>
        <w:ilvl w:val="2"/>
        <w:numId w:val="2"/>
      </w:numPr>
      <w:tabs>
        <w:tab w:val="left" w:pos="709"/>
        <w:tab w:val="left" w:pos="1620"/>
      </w:tabs>
      <w:spacing w:line="413" w:lineRule="auto"/>
    </w:pPr>
  </w:style>
  <w:style w:type="paragraph" w:customStyle="1" w:styleId="155">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56">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57">
    <w:name w:val="文本1"/>
    <w:basedOn w:val="1"/>
    <w:qFormat/>
    <w:uiPriority w:val="0"/>
    <w:pPr>
      <w:adjustRightInd w:val="0"/>
      <w:spacing w:line="312" w:lineRule="atLeast"/>
      <w:jc w:val="center"/>
      <w:textAlignment w:val="baseline"/>
    </w:pPr>
    <w:rPr>
      <w:kern w:val="0"/>
      <w:sz w:val="18"/>
    </w:rPr>
  </w:style>
  <w:style w:type="paragraph" w:customStyle="1" w:styleId="158">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5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0">
    <w:name w:val=" Char1 Char Char Char"/>
    <w:basedOn w:val="1"/>
    <w:qFormat/>
    <w:uiPriority w:val="0"/>
    <w:rPr>
      <w:rFonts w:ascii="Tahoma" w:hAnsi="Tahoma"/>
      <w:sz w:val="24"/>
    </w:rPr>
  </w:style>
  <w:style w:type="paragraph" w:customStyle="1" w:styleId="161">
    <w:name w:val="正文 + 三号"/>
    <w:basedOn w:val="1"/>
    <w:qFormat/>
    <w:uiPriority w:val="0"/>
    <w:rPr>
      <w:sz w:val="21"/>
    </w:rPr>
  </w:style>
  <w:style w:type="paragraph" w:customStyle="1" w:styleId="16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64">
    <w:name w:val="00"/>
    <w:basedOn w:val="1"/>
    <w:qFormat/>
    <w:uiPriority w:val="0"/>
    <w:pPr>
      <w:autoSpaceDE w:val="0"/>
      <w:autoSpaceDN w:val="0"/>
      <w:adjustRightInd w:val="0"/>
      <w:jc w:val="left"/>
    </w:pPr>
    <w:rPr>
      <w:rFonts w:ascii="黑体" w:eastAsia="黑体"/>
      <w:b/>
      <w:kern w:val="0"/>
      <w:sz w:val="20"/>
    </w:rPr>
  </w:style>
  <w:style w:type="paragraph" w:customStyle="1" w:styleId="165">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66">
    <w:name w:val="文章正文"/>
    <w:basedOn w:val="1"/>
    <w:qFormat/>
    <w:uiPriority w:val="0"/>
    <w:pPr>
      <w:ind w:firstLine="560" w:firstLineChars="200"/>
    </w:pPr>
    <w:rPr>
      <w:rFonts w:ascii="仿宋_GB2312" w:hAnsi="宋体" w:eastAsia="仿宋_GB2312"/>
      <w:color w:val="000000"/>
    </w:rPr>
  </w:style>
  <w:style w:type="paragraph" w:customStyle="1" w:styleId="16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9">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7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1">
    <w:name w:val="标题无"/>
    <w:basedOn w:val="1"/>
    <w:qFormat/>
    <w:uiPriority w:val="0"/>
    <w:pPr>
      <w:spacing w:line="360" w:lineRule="auto"/>
    </w:pPr>
    <w:rPr>
      <w:sz w:val="24"/>
    </w:rPr>
  </w:style>
  <w:style w:type="paragraph" w:customStyle="1" w:styleId="172">
    <w:name w:val="样式 正文缩进正文（首行缩进两字）表正文正文非缩进特点标题4段1 + 首行缩进:  2 字符"/>
    <w:basedOn w:val="17"/>
    <w:qFormat/>
    <w:uiPriority w:val="0"/>
    <w:pPr>
      <w:ind w:firstLine="480" w:firstLineChars="200"/>
    </w:pPr>
  </w:style>
  <w:style w:type="paragraph" w:customStyle="1" w:styleId="173">
    <w:name w:val="表格内文字"/>
    <w:basedOn w:val="32"/>
    <w:qFormat/>
    <w:uiPriority w:val="0"/>
    <w:pPr>
      <w:adjustRightInd w:val="0"/>
    </w:pPr>
    <w:rPr>
      <w:color w:val="000000"/>
      <w:lang w:val="en-GB"/>
    </w:rPr>
  </w:style>
  <w:style w:type="paragraph" w:customStyle="1" w:styleId="174">
    <w:name w:val="Char Char Char Char Char Char Char"/>
    <w:basedOn w:val="19"/>
    <w:qFormat/>
    <w:uiPriority w:val="0"/>
    <w:rPr>
      <w:rFonts w:ascii="宋体" w:hAnsi="Tahoma"/>
    </w:rPr>
  </w:style>
  <w:style w:type="paragraph" w:customStyle="1" w:styleId="175">
    <w:name w:val=" Char Char Char Char Char Char Char Char Char Char Char Char Char Char Char Char"/>
    <w:basedOn w:val="1"/>
    <w:qFormat/>
    <w:uiPriority w:val="0"/>
    <w:pPr>
      <w:tabs>
        <w:tab w:val="left" w:pos="360"/>
      </w:tabs>
    </w:pPr>
    <w:rPr>
      <w:sz w:val="24"/>
    </w:rPr>
  </w:style>
  <w:style w:type="paragraph" w:customStyle="1" w:styleId="17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77">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78">
    <w:name w:val="无间隔1"/>
    <w:qFormat/>
    <w:uiPriority w:val="1"/>
    <w:pPr>
      <w:jc w:val="both"/>
    </w:pPr>
    <w:rPr>
      <w:rFonts w:ascii="Times New Roman" w:hAnsi="Times New Roman" w:eastAsia="Times New Roman" w:cs="Times New Roman"/>
      <w:lang w:val="en-US" w:eastAsia="zh-CN" w:bidi="ar-SA"/>
    </w:rPr>
  </w:style>
  <w:style w:type="paragraph" w:customStyle="1" w:styleId="17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80">
    <w:name w:val="样式 首行缩进:  0.74 厘米"/>
    <w:basedOn w:val="1"/>
    <w:qFormat/>
    <w:uiPriority w:val="0"/>
    <w:pPr>
      <w:spacing w:line="360" w:lineRule="auto"/>
      <w:ind w:firstLine="420"/>
    </w:pPr>
    <w:rPr>
      <w:sz w:val="24"/>
    </w:rPr>
  </w:style>
  <w:style w:type="paragraph" w:customStyle="1" w:styleId="181">
    <w:name w:val="正文（首行不缩进）"/>
    <w:basedOn w:val="1"/>
    <w:qFormat/>
    <w:uiPriority w:val="0"/>
    <w:pPr>
      <w:autoSpaceDE w:val="0"/>
      <w:autoSpaceDN w:val="0"/>
      <w:adjustRightInd w:val="0"/>
      <w:spacing w:line="360" w:lineRule="auto"/>
      <w:jc w:val="left"/>
    </w:pPr>
    <w:rPr>
      <w:kern w:val="0"/>
      <w:sz w:val="21"/>
    </w:rPr>
  </w:style>
  <w:style w:type="paragraph" w:customStyle="1" w:styleId="182">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83">
    <w:name w:val="IN Feature"/>
    <w:next w:val="11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8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8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87">
    <w:name w:val=" Char"/>
    <w:basedOn w:val="1"/>
    <w:qFormat/>
    <w:uiPriority w:val="0"/>
    <w:pPr>
      <w:spacing w:line="240" w:lineRule="atLeast"/>
      <w:ind w:left="420" w:firstLine="420"/>
    </w:pPr>
    <w:rPr>
      <w:kern w:val="0"/>
      <w:sz w:val="21"/>
    </w:rPr>
  </w:style>
  <w:style w:type="paragraph" w:customStyle="1" w:styleId="18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89">
    <w:name w:val=" Char Char Char Char Char Char Char"/>
    <w:basedOn w:val="1"/>
    <w:qFormat/>
    <w:uiPriority w:val="0"/>
    <w:rPr>
      <w:rFonts w:ascii="Tahoma" w:hAnsi="Tahoma"/>
      <w:sz w:val="24"/>
    </w:rPr>
  </w:style>
  <w:style w:type="paragraph" w:customStyle="1" w:styleId="19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1">
    <w:name w:val="1.正文"/>
    <w:basedOn w:val="1"/>
    <w:qFormat/>
    <w:uiPriority w:val="0"/>
    <w:pPr>
      <w:spacing w:line="360" w:lineRule="auto"/>
      <w:ind w:left="540" w:leftChars="225" w:firstLine="540" w:firstLineChars="225"/>
    </w:pPr>
    <w:rPr>
      <w:sz w:val="24"/>
    </w:rPr>
  </w:style>
  <w:style w:type="paragraph" w:customStyle="1" w:styleId="192">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93">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9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95">
    <w:name w:val=" Char1"/>
    <w:basedOn w:val="1"/>
    <w:qFormat/>
    <w:uiPriority w:val="0"/>
    <w:rPr>
      <w:sz w:val="21"/>
    </w:rPr>
  </w:style>
  <w:style w:type="paragraph" w:customStyle="1" w:styleId="196">
    <w:name w:val="标准正文"/>
    <w:basedOn w:val="24"/>
    <w:qFormat/>
    <w:uiPriority w:val="0"/>
    <w:pPr>
      <w:spacing w:before="60" w:beforeLines="0" w:after="60" w:afterLines="0" w:line="360" w:lineRule="auto"/>
      <w:ind w:left="0" w:firstLine="482"/>
    </w:pPr>
    <w:rPr>
      <w:rFonts w:ascii="Arial" w:hAnsi="Arial"/>
      <w:sz w:val="24"/>
    </w:rPr>
  </w:style>
  <w:style w:type="paragraph" w:customStyle="1" w:styleId="197">
    <w:name w:val="af"/>
    <w:basedOn w:val="1"/>
    <w:qFormat/>
    <w:uiPriority w:val="0"/>
    <w:pPr>
      <w:widowControl/>
      <w:spacing w:line="300" w:lineRule="atLeast"/>
      <w:jc w:val="left"/>
    </w:pPr>
    <w:rPr>
      <w:rFonts w:ascii="宋体" w:hAnsi="宋体"/>
      <w:kern w:val="0"/>
      <w:sz w:val="18"/>
    </w:rPr>
  </w:style>
  <w:style w:type="paragraph" w:customStyle="1" w:styleId="198">
    <w:name w:val="表号"/>
    <w:basedOn w:val="1"/>
    <w:qFormat/>
    <w:uiPriority w:val="0"/>
    <w:pPr>
      <w:numPr>
        <w:ilvl w:val="0"/>
        <w:numId w:val="9"/>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99">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200">
    <w:name w:val="表头样式"/>
    <w:basedOn w:val="1"/>
    <w:qFormat/>
    <w:uiPriority w:val="0"/>
    <w:pPr>
      <w:autoSpaceDE w:val="0"/>
      <w:autoSpaceDN w:val="0"/>
      <w:adjustRightInd w:val="0"/>
      <w:spacing w:line="360" w:lineRule="auto"/>
      <w:jc w:val="left"/>
    </w:pPr>
    <w:rPr>
      <w:b/>
      <w:kern w:val="0"/>
      <w:sz w:val="21"/>
    </w:rPr>
  </w:style>
  <w:style w:type="paragraph" w:customStyle="1" w:styleId="201">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20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03">
    <w:name w:val="标题2"/>
    <w:basedOn w:val="5"/>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0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5">
    <w:name w:val="Title - Date"/>
    <w:basedOn w:val="57"/>
    <w:next w:val="1"/>
    <w:qFormat/>
    <w:uiPriority w:val="0"/>
    <w:pPr>
      <w:spacing w:before="240" w:beforeLines="0" w:beforeAutospacing="0" w:after="720" w:afterLines="0" w:afterAutospacing="0"/>
    </w:pPr>
    <w:rPr>
      <w:sz w:val="28"/>
    </w:rPr>
  </w:style>
  <w:style w:type="paragraph" w:customStyle="1" w:styleId="206">
    <w:name w:val="关键词"/>
    <w:basedOn w:val="1"/>
    <w:next w:val="1"/>
    <w:qFormat/>
    <w:uiPriority w:val="0"/>
    <w:pPr>
      <w:spacing w:line="360" w:lineRule="auto"/>
    </w:pPr>
    <w:rPr>
      <w:rFonts w:eastAsia="黑体"/>
      <w:sz w:val="20"/>
    </w:rPr>
  </w:style>
  <w:style w:type="paragraph" w:customStyle="1" w:styleId="207">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0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0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10">
    <w:name w:val="样式2"/>
    <w:basedOn w:val="7"/>
    <w:qFormat/>
    <w:uiPriority w:val="0"/>
    <w:pPr>
      <w:numPr>
        <w:ilvl w:val="0"/>
        <w:numId w:val="10"/>
      </w:numPr>
      <w:spacing w:before="560" w:beforeLines="0" w:line="400" w:lineRule="exact"/>
      <w:jc w:val="center"/>
      <w:outlineLvl w:val="0"/>
    </w:pPr>
    <w:rPr>
      <w:b w:val="0"/>
      <w:sz w:val="44"/>
    </w:rPr>
  </w:style>
  <w:style w:type="paragraph" w:customStyle="1" w:styleId="211">
    <w:name w:val=" Char Char 字元 字元 字元 Char Char Char Char"/>
    <w:basedOn w:val="1"/>
    <w:qFormat/>
    <w:uiPriority w:val="0"/>
    <w:pPr>
      <w:adjustRightInd w:val="0"/>
      <w:spacing w:line="360" w:lineRule="auto"/>
    </w:pPr>
    <w:rPr>
      <w:kern w:val="0"/>
      <w:sz w:val="24"/>
    </w:rPr>
  </w:style>
  <w:style w:type="paragraph" w:customStyle="1" w:styleId="212">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213">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14">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5">
    <w:name w:val="p18"/>
    <w:basedOn w:val="1"/>
    <w:qFormat/>
    <w:uiPriority w:val="0"/>
    <w:pPr>
      <w:widowControl/>
      <w:spacing w:line="520" w:lineRule="atLeast"/>
      <w:ind w:firstLine="570"/>
    </w:pPr>
    <w:rPr>
      <w:rFonts w:ascii="方正仿宋简体" w:hAnsi="方正仿宋简体" w:cs="宋体"/>
      <w:kern w:val="0"/>
      <w:sz w:val="24"/>
    </w:rPr>
  </w:style>
  <w:style w:type="paragraph" w:customStyle="1" w:styleId="216">
    <w:name w:val="Body Text Indent 2"/>
    <w:basedOn w:val="1"/>
    <w:qFormat/>
    <w:uiPriority w:val="0"/>
    <w:pPr>
      <w:adjustRightInd w:val="0"/>
      <w:spacing w:before="120" w:beforeLines="0" w:beforeAutospacing="0"/>
      <w:ind w:firstLine="420"/>
      <w:textAlignment w:val="baseline"/>
    </w:pPr>
    <w:rPr>
      <w:sz w:val="24"/>
    </w:rPr>
  </w:style>
  <w:style w:type="paragraph" w:customStyle="1" w:styleId="217">
    <w:name w:val="正文表格"/>
    <w:basedOn w:val="1"/>
    <w:qFormat/>
    <w:uiPriority w:val="0"/>
    <w:pPr>
      <w:adjustRightInd w:val="0"/>
      <w:spacing w:before="40" w:beforeLines="0" w:beforeAutospacing="0" w:after="40" w:afterLines="0" w:afterAutospacing="0"/>
    </w:pPr>
    <w:rPr>
      <w:sz w:val="24"/>
    </w:rPr>
  </w:style>
  <w:style w:type="paragraph" w:customStyle="1" w:styleId="218">
    <w:name w:val="Note"/>
    <w:basedOn w:val="1"/>
    <w:qFormat/>
    <w:uiPriority w:val="0"/>
    <w:pPr>
      <w:pBdr>
        <w:top w:val="single" w:color="auto" w:sz="12" w:space="3"/>
        <w:bottom w:val="single" w:color="auto" w:sz="12" w:space="3"/>
      </w:pBdr>
      <w:spacing w:line="360" w:lineRule="auto"/>
    </w:pPr>
    <w:rPr>
      <w:sz w:val="24"/>
    </w:rPr>
  </w:style>
  <w:style w:type="paragraph" w:customStyle="1" w:styleId="219">
    <w:name w:val="默认段落字体 Para Char Char Char Char Char Char Char"/>
    <w:basedOn w:val="1"/>
    <w:qFormat/>
    <w:uiPriority w:val="0"/>
    <w:rPr>
      <w:rFonts w:ascii="Tahoma" w:hAnsi="Tahoma"/>
      <w:sz w:val="24"/>
    </w:rPr>
  </w:style>
  <w:style w:type="paragraph" w:customStyle="1" w:styleId="220">
    <w:name w:val="首行缩进"/>
    <w:basedOn w:val="1"/>
    <w:qFormat/>
    <w:uiPriority w:val="0"/>
    <w:pPr>
      <w:numPr>
        <w:ilvl w:val="0"/>
        <w:numId w:val="11"/>
      </w:numPr>
      <w:spacing w:line="360" w:lineRule="auto"/>
    </w:pPr>
    <w:rPr>
      <w:rFonts w:eastAsia="仿宋_GB2312"/>
    </w:rPr>
  </w:style>
  <w:style w:type="paragraph" w:customStyle="1" w:styleId="221">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2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3">
    <w:name w:val="_Style 218"/>
    <w:qFormat/>
    <w:uiPriority w:val="0"/>
    <w:rPr>
      <w:rFonts w:ascii="Times New Roman" w:hAnsi="Times New Roman" w:eastAsia="宋体" w:cs="Times New Roman"/>
      <w:kern w:val="2"/>
      <w:sz w:val="21"/>
      <w:lang w:val="en-US" w:eastAsia="zh-CN" w:bidi="ar-SA"/>
    </w:rPr>
  </w:style>
  <w:style w:type="paragraph" w:customStyle="1" w:styleId="224">
    <w:name w:val="样式 行距: 1.5 倍行距1"/>
    <w:basedOn w:val="1"/>
    <w:qFormat/>
    <w:uiPriority w:val="0"/>
    <w:pPr>
      <w:snapToGrid w:val="0"/>
    </w:pPr>
    <w:rPr>
      <w:sz w:val="21"/>
    </w:rPr>
  </w:style>
  <w:style w:type="paragraph" w:customStyle="1" w:styleId="225">
    <w:name w:val="二级列表"/>
    <w:basedOn w:val="126"/>
    <w:next w:val="126"/>
    <w:qFormat/>
    <w:uiPriority w:val="0"/>
    <w:pPr>
      <w:tabs>
        <w:tab w:val="left" w:pos="2120"/>
      </w:tabs>
      <w:ind w:firstLine="0" w:firstLineChars="0"/>
    </w:pPr>
    <w:rPr>
      <w:b/>
    </w:rPr>
  </w:style>
  <w:style w:type="paragraph" w:customStyle="1" w:styleId="226">
    <w:name w:val="样式3"/>
    <w:basedOn w:val="4"/>
    <w:next w:val="4"/>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27">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22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229">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30">
    <w:name w:val=" Char Char Char"/>
    <w:basedOn w:val="1"/>
    <w:qFormat/>
    <w:uiPriority w:val="0"/>
    <w:rPr>
      <w:rFonts w:ascii="Tahoma" w:hAnsi="Tahoma"/>
      <w:sz w:val="24"/>
    </w:rPr>
  </w:style>
  <w:style w:type="paragraph" w:customStyle="1" w:styleId="231">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32">
    <w:name w:val="可研正文"/>
    <w:basedOn w:val="2"/>
    <w:qFormat/>
    <w:uiPriority w:val="0"/>
    <w:pPr>
      <w:adjustRightInd w:val="0"/>
      <w:snapToGrid w:val="0"/>
      <w:spacing w:line="440" w:lineRule="exact"/>
      <w:ind w:firstLine="567"/>
    </w:pPr>
    <w:rPr>
      <w:sz w:val="28"/>
    </w:rPr>
  </w:style>
  <w:style w:type="paragraph" w:customStyle="1" w:styleId="233">
    <w:name w:val="样式4"/>
    <w:basedOn w:val="7"/>
    <w:qFormat/>
    <w:uiPriority w:val="0"/>
    <w:pPr>
      <w:adjustRightInd w:val="0"/>
      <w:snapToGrid w:val="0"/>
    </w:pPr>
  </w:style>
  <w:style w:type="paragraph" w:customStyle="1" w:styleId="234">
    <w:name w:val="表头文本"/>
    <w:qFormat/>
    <w:uiPriority w:val="0"/>
    <w:pPr>
      <w:jc w:val="center"/>
    </w:pPr>
    <w:rPr>
      <w:rFonts w:ascii="Arial" w:hAnsi="Arial" w:eastAsia="宋体" w:cs="Times New Roman"/>
      <w:b/>
      <w:sz w:val="21"/>
      <w:lang w:val="en-US" w:eastAsia="zh-CN" w:bidi="ar-SA"/>
    </w:rPr>
  </w:style>
  <w:style w:type="paragraph" w:customStyle="1" w:styleId="235">
    <w:name w:val="标书正文:  0.74 厘米"/>
    <w:basedOn w:val="1"/>
    <w:qFormat/>
    <w:uiPriority w:val="0"/>
    <w:pPr>
      <w:snapToGrid w:val="0"/>
      <w:spacing w:line="360" w:lineRule="auto"/>
      <w:ind w:firstLine="420"/>
    </w:pPr>
    <w:rPr>
      <w:sz w:val="24"/>
    </w:rPr>
  </w:style>
  <w:style w:type="paragraph" w:customStyle="1" w:styleId="236">
    <w:name w:val=" Char Char14 Char Char"/>
    <w:basedOn w:val="1"/>
    <w:qFormat/>
    <w:uiPriority w:val="0"/>
    <w:rPr>
      <w:sz w:val="21"/>
      <w:szCs w:val="24"/>
    </w:rPr>
  </w:style>
  <w:style w:type="paragraph" w:customStyle="1" w:styleId="237">
    <w:name w:val="摘要"/>
    <w:basedOn w:val="1"/>
    <w:next w:val="5"/>
    <w:qFormat/>
    <w:uiPriority w:val="0"/>
    <w:pPr>
      <w:spacing w:line="360" w:lineRule="auto"/>
    </w:pPr>
    <w:rPr>
      <w:rFonts w:eastAsia="黑体"/>
      <w:sz w:val="20"/>
    </w:rPr>
  </w:style>
  <w:style w:type="paragraph" w:customStyle="1" w:styleId="238">
    <w:name w:val="Char1 Char Char Char"/>
    <w:basedOn w:val="1"/>
    <w:qFormat/>
    <w:uiPriority w:val="0"/>
    <w:rPr>
      <w:rFonts w:ascii="Tahoma" w:hAnsi="Tahoma"/>
      <w:sz w:val="30"/>
    </w:rPr>
  </w:style>
  <w:style w:type="paragraph" w:customStyle="1" w:styleId="239">
    <w:name w:val="Char"/>
    <w:basedOn w:val="1"/>
    <w:qFormat/>
    <w:uiPriority w:val="0"/>
    <w:pPr>
      <w:spacing w:line="240" w:lineRule="atLeast"/>
      <w:ind w:left="420" w:firstLine="420"/>
    </w:pPr>
    <w:rPr>
      <w:kern w:val="0"/>
      <w:sz w:val="21"/>
    </w:rPr>
  </w:style>
  <w:style w:type="paragraph" w:customStyle="1" w:styleId="240">
    <w:name w:val="样式 宋体 五号 行距: 单倍行距"/>
    <w:basedOn w:val="1"/>
    <w:qFormat/>
    <w:uiPriority w:val="0"/>
    <w:pPr>
      <w:adjustRightInd w:val="0"/>
      <w:jc w:val="left"/>
    </w:pPr>
    <w:rPr>
      <w:rFonts w:ascii="宋体" w:hAnsi="宋体"/>
      <w:kern w:val="0"/>
      <w:sz w:val="21"/>
    </w:rPr>
  </w:style>
  <w:style w:type="paragraph" w:customStyle="1" w:styleId="241">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42">
    <w:name w:val="_Style 102"/>
    <w:basedOn w:val="1"/>
    <w:qFormat/>
    <w:uiPriority w:val="0"/>
    <w:pPr>
      <w:spacing w:line="360" w:lineRule="auto"/>
      <w:ind w:firstLine="200" w:firstLineChars="200"/>
    </w:pPr>
    <w:rPr>
      <w:rFonts w:ascii="宋体" w:hAnsi="宋体" w:cs="宋体"/>
      <w:sz w:val="24"/>
      <w:szCs w:val="24"/>
    </w:rPr>
  </w:style>
  <w:style w:type="paragraph" w:customStyle="1" w:styleId="243">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244">
    <w:name w:val="Title - Revision"/>
    <w:basedOn w:val="57"/>
    <w:qFormat/>
    <w:uiPriority w:val="0"/>
    <w:pPr>
      <w:spacing w:before="720" w:beforeLines="0" w:beforeAutospacing="0"/>
    </w:pPr>
  </w:style>
  <w:style w:type="paragraph" w:customStyle="1" w:styleId="245">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46">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7">
    <w:name w:val="编号正文"/>
    <w:basedOn w:val="214"/>
    <w:qFormat/>
    <w:uiPriority w:val="0"/>
    <w:pPr>
      <w:snapToGrid/>
      <w:spacing w:line="360" w:lineRule="auto"/>
      <w:ind w:left="1407" w:hanging="1047"/>
      <w:jc w:val="left"/>
    </w:pPr>
    <w:rPr>
      <w:rFonts w:eastAsia="仿宋_GB2312"/>
    </w:rPr>
  </w:style>
  <w:style w:type="paragraph" w:customStyle="1" w:styleId="248">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49">
    <w:name w:val="Table Contents"/>
    <w:basedOn w:val="2"/>
    <w:qFormat/>
    <w:uiPriority w:val="0"/>
    <w:pPr>
      <w:suppressAutoHyphens/>
      <w:jc w:val="left"/>
    </w:pPr>
    <w:rPr>
      <w:rFonts w:ascii="Times New Roman" w:eastAsia="Times New Roman"/>
      <w:kern w:val="0"/>
      <w:sz w:val="24"/>
    </w:rPr>
  </w:style>
  <w:style w:type="paragraph" w:customStyle="1" w:styleId="250">
    <w:name w:val="UserStyle_89"/>
    <w:basedOn w:val="1"/>
    <w:next w:val="251"/>
    <w:qFormat/>
    <w:uiPriority w:val="0"/>
    <w:rPr>
      <w:rFonts w:ascii="宋体" w:hAnsi="Courier New"/>
      <w:sz w:val="21"/>
    </w:rPr>
  </w:style>
  <w:style w:type="paragraph" w:customStyle="1" w:styleId="251">
    <w:name w:val="PlainText"/>
    <w:basedOn w:val="1"/>
    <w:qFormat/>
    <w:uiPriority w:val="0"/>
    <w:rPr>
      <w:rFonts w:ascii="宋体" w:hAnsi="Courier New" w:eastAsia="宋体"/>
      <w:sz w:val="21"/>
    </w:rPr>
  </w:style>
  <w:style w:type="character" w:customStyle="1" w:styleId="252">
    <w:name w:val="NormalCharacter"/>
    <w:qFormat/>
    <w:uiPriority w:val="0"/>
  </w:style>
  <w:style w:type="paragraph" w:customStyle="1" w:styleId="25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54">
    <w:name w:val="标题样式"/>
    <w:basedOn w:val="1"/>
    <w:next w:val="1"/>
    <w:qFormat/>
    <w:uiPriority w:val="1667"/>
    <w:pPr>
      <w:jc w:val="center"/>
    </w:pPr>
    <w:rPr>
      <w:b/>
      <w:kern w:val="0"/>
      <w:sz w:val="36"/>
    </w:rPr>
  </w:style>
  <w:style w:type="paragraph" w:customStyle="1" w:styleId="255">
    <w:name w:val="正文首行缩进1"/>
    <w:basedOn w:val="2"/>
    <w:qFormat/>
    <w:uiPriority w:val="0"/>
    <w:pPr>
      <w:adjustRightInd w:val="0"/>
      <w:spacing w:line="275" w:lineRule="atLeast"/>
      <w:ind w:firstLine="420"/>
      <w:textAlignment w:val="baseline"/>
    </w:pPr>
    <w:rPr>
      <w:rFonts w:ascii="宋体" w:eastAsia="楷体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15416</Words>
  <Characters>20372</Characters>
  <Lines>163</Lines>
  <Paragraphs>46</Paragraphs>
  <TotalTime>9</TotalTime>
  <ScaleCrop>false</ScaleCrop>
  <LinksUpToDate>false</LinksUpToDate>
  <CharactersWithSpaces>21604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2019-06-21T01:18:00Z</dcterms:created>
  <dc:creator>周媛媛</dc:creator>
  <cp:lastModifiedBy>阿瑞</cp:lastModifiedBy>
  <cp:lastPrinted>2024-07-22T07:46:00Z</cp:lastPrinted>
  <dcterms:modified xsi:type="dcterms:W3CDTF">2025-03-26T00:51:08Z</dcterms:modified>
  <dc:title>竞争性谈判文件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DBEC797B07144BB19B71F80C04B74136</vt:lpwstr>
  </property>
</Properties>
</file>