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080" w:firstLineChars="3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荣昌区人民医院常用维修材料等物资采购</w:t>
      </w:r>
    </w:p>
    <w:p>
      <w:pPr>
        <w:spacing w:line="720" w:lineRule="exact"/>
        <w:ind w:firstLine="1080" w:firstLineChars="3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三</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spacing w:line="480" w:lineRule="exact"/>
        <w:jc w:val="both"/>
        <w:outlineLvl w:val="0"/>
        <w:rPr>
          <w:rFonts w:hint="eastAsia" w:ascii="宋体" w:hAnsi="宋体" w:cs="宋体"/>
          <w:b/>
          <w:bCs/>
          <w:color w:val="auto"/>
          <w:sz w:val="36"/>
          <w:szCs w:val="36"/>
          <w:highlight w:val="none"/>
        </w:rPr>
      </w:pPr>
      <w:bookmarkStart w:id="0" w:name="_Toc4351"/>
      <w:bookmarkStart w:id="1" w:name="_Toc11641050"/>
      <w:bookmarkStart w:id="2" w:name="_Toc12667"/>
      <w:bookmarkStart w:id="3" w:name="_Toc12789052"/>
    </w:p>
    <w:p>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49"/>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2</w:t>
      </w:r>
      <w:r>
        <w:rPr>
          <w:rFonts w:hint="eastAsia" w:ascii="宋体" w:hAnsi="宋体" w:cs="宋体"/>
          <w:b/>
          <w:bCs/>
          <w:color w:val="auto"/>
          <w:sz w:val="24"/>
          <w:szCs w:val="24"/>
          <w:highlight w:val="none"/>
        </w:rPr>
        <w:fldChar w:fldCharType="end"/>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49"/>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6</w:t>
      </w:r>
    </w:p>
    <w:p>
      <w:pPr>
        <w:pStyle w:val="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w:t>
      </w:r>
      <w:r>
        <w:rPr>
          <w:rFonts w:hint="eastAsia" w:cs="宋体"/>
          <w:color w:val="auto"/>
          <w:sz w:val="24"/>
          <w:szCs w:val="24"/>
          <w:highlight w:val="none"/>
          <w:lang w:val="en-US" w:eastAsia="zh-CN"/>
        </w:rPr>
        <w:t>9</w:t>
      </w:r>
    </w:p>
    <w:p>
      <w:pPr>
        <w:rPr>
          <w:rFonts w:hint="default"/>
          <w:sz w:val="24"/>
          <w:szCs w:val="24"/>
          <w:lang w:val="en-US" w:eastAsia="zh-CN"/>
        </w:rPr>
      </w:pPr>
      <w:r>
        <w:rPr>
          <w:rFonts w:hint="eastAsia"/>
          <w:sz w:val="24"/>
          <w:szCs w:val="24"/>
          <w:lang w:val="en-US" w:eastAsia="zh-CN"/>
        </w:rPr>
        <w:t xml:space="preserve">         六、成交通知                                                        9</w:t>
      </w:r>
    </w:p>
    <w:p>
      <w:pPr>
        <w:pStyle w:val="3"/>
        <w:ind w:firstLine="1080" w:firstLineChars="450"/>
        <w:rPr>
          <w:rFonts w:hint="default"/>
          <w:sz w:val="24"/>
          <w:szCs w:val="24"/>
          <w:lang w:val="en-US" w:eastAsia="zh-CN"/>
        </w:rPr>
      </w:pPr>
      <w:r>
        <w:rPr>
          <w:rFonts w:hint="eastAsia"/>
          <w:sz w:val="24"/>
          <w:szCs w:val="24"/>
          <w:lang w:val="en-US" w:eastAsia="zh-CN"/>
        </w:rPr>
        <w:t>七、关于质疑和投诉                                                  9</w:t>
      </w:r>
    </w:p>
    <w:p>
      <w:pPr>
        <w:ind w:firstLine="960" w:firstLineChars="400"/>
        <w:rPr>
          <w:rFonts w:hint="default"/>
          <w:lang w:val="en-US" w:eastAsia="zh-CN"/>
        </w:rPr>
      </w:pPr>
      <w:r>
        <w:rPr>
          <w:rFonts w:hint="eastAsia"/>
          <w:sz w:val="24"/>
          <w:szCs w:val="24"/>
          <w:lang w:val="en-US" w:eastAsia="zh-CN"/>
        </w:rPr>
        <w:t>八、签订合同                                                         9</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11</w:t>
      </w:r>
    </w:p>
    <w:p>
      <w:pPr>
        <w:pStyle w:val="31"/>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11</w:t>
      </w:r>
    </w:p>
    <w:p>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三、结算及付款方式</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ind w:left="480"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22</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24</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25</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28</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31</w:t>
      </w:r>
    </w:p>
    <w:p>
      <w:pPr>
        <w:pStyle w:val="31"/>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36</w:t>
      </w:r>
    </w:p>
    <w:p>
      <w:pPr>
        <w:pStyle w:val="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荣昌区人民医院常用维修材料等物资采购项目</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6"/>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2828"/>
      <w:bookmarkStart w:id="5" w:name="_Toc12613"/>
      <w:bookmarkStart w:id="6" w:name="_Toc317775175"/>
      <w:bookmarkStart w:id="7" w:name="_Toc313893526"/>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荣昌区人民医院常用维修材料等物资采购</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133217.07</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3432"/>
      <w:bookmarkStart w:id="9" w:name="_Toc15923"/>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6"/>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pPr>
        <w:spacing w:line="416" w:lineRule="exact"/>
        <w:rPr>
          <w:rFonts w:hint="eastAsia"/>
        </w:rPr>
      </w:pPr>
      <w:r>
        <w:rPr>
          <w:rFonts w:hint="eastAsia" w:ascii="宋体" w:hAnsi="宋体" w:cs="宋体"/>
          <w:color w:val="auto"/>
          <w:szCs w:val="24"/>
          <w:highlight w:val="none"/>
        </w:rPr>
        <w:t>（三）本项目的特定资格要求：无。</w:t>
      </w:r>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1、询价通知书提供期限：2025年3月 20 日至2025年3月 24 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（六）响应文件递交开始时间：2025年3月 25 日北京时间14时30分。 </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（七）响应文件递交截止时间：2025年3月 25 日北京时间15时00分。</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（八）询价开始时间：2025年3月 25 日北京时间15</w:t>
      </w:r>
      <w:bookmarkStart w:id="133" w:name="_GoBack"/>
      <w:bookmarkEnd w:id="133"/>
      <w:r>
        <w:rPr>
          <w:rFonts w:hint="eastAsia" w:ascii="仿宋" w:hAnsi="仿宋" w:eastAsia="仿宋" w:cs="仿宋"/>
          <w:color w:val="auto"/>
          <w:sz w:val="28"/>
          <w:szCs w:val="28"/>
          <w:highlight w:val="none"/>
          <w:lang w:val="en-US" w:eastAsia="zh-CN"/>
        </w:rPr>
        <w:t>时00分。</w:t>
      </w:r>
    </w:p>
    <w:p>
      <w:pPr>
        <w:pStyle w:val="3"/>
        <w:rPr>
          <w:rFonts w:hint="eastAsia"/>
          <w:lang w:val="en-US" w:eastAsia="zh-CN"/>
        </w:rPr>
      </w:pPr>
    </w:p>
    <w:p>
      <w:pPr>
        <w:pStyle w:val="6"/>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487204775"/>
      <w:bookmarkStart w:id="18" w:name="_Toc22356"/>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pPr>
        <w:numPr>
          <w:ilvl w:val="0"/>
          <w:numId w:val="0"/>
        </w:numPr>
        <w:rPr>
          <w:rFonts w:hint="eastAsia" w:eastAsia="宋体"/>
          <w:lang w:eastAsia="zh-CN"/>
        </w:rPr>
      </w:pPr>
      <w:r>
        <w:rPr>
          <w:rFonts w:hint="eastAsia"/>
          <w:lang w:eastAsia="zh-CN"/>
        </w:rPr>
        <w:t>无</w:t>
      </w:r>
    </w:p>
    <w:bookmarkEnd w:id="15"/>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7117"/>
      <w:bookmarkStart w:id="20" w:name="_Toc26067"/>
      <w:bookmarkStart w:id="21" w:name="_Toc28513"/>
      <w:r>
        <w:rPr>
          <w:rFonts w:hint="eastAsia" w:ascii="仿宋" w:hAnsi="仿宋" w:eastAsia="仿宋" w:cs="仿宋"/>
          <w:color w:val="auto"/>
          <w:sz w:val="28"/>
          <w:szCs w:val="28"/>
          <w:highlight w:val="none"/>
        </w:rPr>
        <w:t>六、其它有关规定</w:t>
      </w:r>
      <w:bookmarkEnd w:id="19"/>
      <w:bookmarkEnd w:id="20"/>
      <w:bookmarkEnd w:id="21"/>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3"/>
        <w:rPr>
          <w:rFonts w:hint="eastAsia"/>
          <w:lang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023-46331845</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5"/>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pPr>
        <w:pStyle w:val="6"/>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6"/>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pPr>
        <w:pStyle w:val="6"/>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叁</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一份、副本</w:t>
      </w:r>
      <w:r>
        <w:rPr>
          <w:rFonts w:hint="eastAsia" w:ascii="宋体" w:hAnsi="宋体" w:cs="宋体"/>
          <w:color w:val="auto"/>
          <w:sz w:val="24"/>
          <w:szCs w:val="24"/>
          <w:highlight w:val="none"/>
        </w:rPr>
        <w:t>一份，</w:t>
      </w:r>
      <w:r>
        <w:rPr>
          <w:rFonts w:hint="eastAsia" w:ascii="宋体" w:hAnsi="宋体" w:eastAsia="宋体" w:cs="宋体"/>
          <w:color w:val="auto"/>
          <w:sz w:val="24"/>
          <w:szCs w:val="24"/>
          <w:highlight w:val="none"/>
          <w:lang w:eastAsia="zh-CN"/>
        </w:rPr>
        <w:t>电子文档一份（电子文档内容应与纸质文件正本一致，即响应文件正本签字盖章完整的扫描件PDF格式，采用U盘为电子文档载体），</w:t>
      </w:r>
      <w:r>
        <w:rPr>
          <w:rFonts w:hint="eastAsia" w:ascii="宋体" w:hAnsi="宋体" w:cs="宋体"/>
          <w:color w:val="auto"/>
          <w:sz w:val="24"/>
          <w:szCs w:val="24"/>
          <w:highlight w:val="none"/>
        </w:rPr>
        <w:t>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6"/>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487204782"/>
      <w:bookmarkStart w:id="56" w:name="_Toc342913393"/>
      <w:bookmarkStart w:id="57" w:name="_Toc10039"/>
      <w:bookmarkStart w:id="58" w:name="_Toc31741"/>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4"/>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6"/>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6"/>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6"/>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pPr>
        <w:pStyle w:val="5"/>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tbl>
      <w:tblPr>
        <w:tblStyle w:val="60"/>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339"/>
        <w:gridCol w:w="2640"/>
        <w:gridCol w:w="465"/>
        <w:gridCol w:w="1005"/>
        <w:gridCol w:w="596"/>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尖端紧顶螺丝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304不锈钢，M6*5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T5，公牛/4W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1200*300MM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LED冷库专用灯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邦镇/25W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LED三防灯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永兴防频闪</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LED声光控模组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LED医用洁净平板灯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1300*380MM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君政/&amp;25/灰色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PVC存水弯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&amp;75/日丰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&amp;25/华峰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&amp;20/华峰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PVC灰色防腐外丝直接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联塑/400G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PVC伸缩节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PVC座卡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T5LED无影一体化支架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佛山16W/1.2米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U型叉锁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耀阳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暗装三开双控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暗装小便斗全自动感应冲水器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AT-6318AB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白炽灯泡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欧普600*1200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永德兴/125MM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泵吸气体检测报警仪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K-400A+ZC500四合一+采样泵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碧丽节能净化自饮机进水组件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玻璃门地弹簧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玻璃门下夹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78-101MM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创派特厚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不锈钢加长水嘴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精品速钢/16-18MM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精品速钢/20-25MM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  12*60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不锈钢欧姆卡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不锈钢脱卸自闭合页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A0101/50单舌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彩钢钉套筒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鑫地8MM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槽板（PVC）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君川24*14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侧面抽屉三联锁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公牛606A1.8米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 5米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606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宏挺/4.2*25/305颗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瓷砖背胶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雨虹B300防水 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磁控管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大启M4520  600颗/盒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大启M4*20  800颗/盒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单龙头阀芯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单水高弯龙头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灯架吊链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得力/圆头8*150MM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胜华3*1.5MM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TRVV5*0.5高柔耐折软线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电热水器混水淋浴阀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30uf</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电梯扶手带驱动链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电线接线桩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电源变压器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10W/VA   220V转12V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樺利泰/30KG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虎王300KG/尺寸74*40*17cm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双帆/1T2M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动力电度表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德力西DTS606V 220/380V三相四线60A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德力西/1P-32A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4P-63A德力西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对夹式手柄蝶阀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公牛413K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二开开关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公牛/明装/双控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800L/380V/4.5K紫铜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发热管（开水器）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浴豪原装12KW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法兰垫</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不锈钢40*40*5cm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防爆插座+插头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防爆接线等直通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平盖DN20三通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防爆进线头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创新/二开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创新/一开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防爆排风扇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DN20双头内丝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DN25内外丝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防爆双管荧光灯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2*1200MM广东佳明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防爆双管应急灯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2*1200MM佛山照明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防爆五孔插座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有机环保/2KG/包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防火发泡胶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皇冠/大体</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防水补墙膏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恒裕DN100不锈钢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浮球液位控制器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贝尔/250V  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高弯混水龙头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不锈钢/万向/创派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5KV-0.65A/650mA/6*40mm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等头100cm/九牧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80cm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高压水枪（软管喷头）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工业级卡簧钳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公牛插线板109K</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 20W 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管道式换气扇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杰诚HF-150P</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合金地槽板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户外单水龙头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护栏/高度1200mm</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花岗石门套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400MM反转带网罩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力本/400mm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3*1MM  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九牧王/5025A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九牧王/5113A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瓷白/三棵树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联塑/&amp;63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金刚砂纱窗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870*1755mm定制含安装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康乐达FCD 3-448A12V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警示路锥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开水机总控电路板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16KW裕豪原厂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QELIC/&amp;12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空压机气管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10*6.5MM/透明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老式台盆下水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不锈钢87MM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冷凝器安全阀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SDA-22C300T  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淋浴喷头座子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龙头芯子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3.5CM混水阀芯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德力西3P32A+N上进线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德力西DZ47LE  2P-20A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德力西2P-63A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4.8级/14*60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铝箔自粘隔热保温棉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1000*500*20mm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铝合金线槽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四维2011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马桶法兰圈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脲醛加强厚型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马桶盖固定螺栓卡扣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落地移动冷光放大美容灯/智塑/白玻/15倍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落地移动冷光放大美容灯/智塑/白玻/10倍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淋浴管密封圈</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面盆不锈钢下水器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九牧/平面型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创派/双孔进水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内丝弯头(PPR)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尼龙单轮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超霸/LR44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欧普T8双支平盖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双端T8 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单端 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欧普白光球泡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18W/300*300MM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15W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排气扇（力本）</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皮吸</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平板灯（公牛）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300*1200mm 6500K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气动阀门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阀控式 DJW12-24S</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QDX30-20-2.2C(2.5寸）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强光探照灯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锂电大功率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全身安全带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五点式带缓冲大双钩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全自动水龙头感应器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29*10四根针插头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热熔胶棒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佛山照明36W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三杆锁舌</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三角救援架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含绞盘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樱花不锈钢350mm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砂轮切割片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金象100*1.2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商用不锈钢单水槽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800个/盒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1.5千颗/盒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十字沉头钻尾螺丝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宏挺/4.2*19  900颗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东成/105*20*0.8mm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七字单联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市政护栏立柱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室内温湿度计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9M加长软管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双色接地线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四维单温龙头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M691D1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四维面盆龙头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M76D1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速差自控器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防坠器10米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塑钢门执手锁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德力西CDM3S-63C/3300  40A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台灯灯管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台盆脚踏阀（九牧王）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面盆龙头+脚踏阀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台下盆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惠达/18寸圆形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泰祥白光灯管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  0.9M 14W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体重指数盘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铁锈转化剂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JMY</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正泰100米/卷 BVR6 国标阻燃 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30W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150W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304不锈钢60*40*55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外丝气阀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不锈钢DN15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镀锌20*15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腾博士/110*45度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吉祥3L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万向菜盆龙头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九牧/高弯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卫生间斜面锁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无堵塞排污泵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威乐WQ15-30-3  380V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下水道疏通器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万家通/3米加粗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PVC&amp;20日丰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橡套电缆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3*2.5²/上上电缆/国标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消防管卡箍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小便池除臭过滤网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小便池防堵下水盖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7CM陶瓷款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小便器感应面板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150A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旋启式止回阀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DN100-16-HT200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延时保险管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250V/T8AL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液压铜接线端子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一体化自动应急平板灯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椅子脚垫子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带螺栓加大镀锌平垫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浴室三杆式执手锁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左开/右开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圆柱拉手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真空远传压力表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港通-0.1-0.3MPA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不锈钢/弹子插芯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君政PPR&amp;20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德力西/220V/8脚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中央空调百叶回风口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铝合金带滤网790*340MM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中药杆秤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250G木制杆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洛阳6204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佳豹3-2/220V大风量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枫亚2.5-2管道式220V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铸铁底座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子母合页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裕得利/304不锈钢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自动感应器探头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半圆银色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阻燃波纹管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峰盛16MM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价格包含产品、运输配送费、管理费、装卸费以及税费等所有费用。2、成交供应商提供送货单和发票，及时办理出入库。3、供应商建立电子台账，记录供货规格、数量、时间、单价。4、结算以实际配送数量，据实结算。</w:t>
            </w:r>
          </w:p>
        </w:tc>
      </w:tr>
    </w:tbl>
    <w:p>
      <w:pPr>
        <w:rPr>
          <w:rFonts w:hint="eastAsia"/>
        </w:rPr>
      </w:pPr>
    </w:p>
    <w:p>
      <w:pPr>
        <w:numPr>
          <w:ilvl w:val="0"/>
          <w:numId w:val="0"/>
        </w:numPr>
        <w:rPr>
          <w:rFonts w:hint="eastAsia"/>
        </w:rPr>
      </w:pPr>
    </w:p>
    <w:p>
      <w:pPr>
        <w:pStyle w:val="5"/>
        <w:jc w:val="center"/>
        <w:rPr>
          <w:rStyle w:val="114"/>
          <w:rFonts w:hint="eastAsia" w:ascii="宋体" w:hAnsi="宋体" w:eastAsia="宋体" w:cs="宋体"/>
          <w:b/>
          <w:bCs/>
          <w:color w:val="auto"/>
          <w:highlight w:val="none"/>
        </w:rPr>
      </w:pPr>
      <w:bookmarkStart w:id="82" w:name="_Toc26246"/>
      <w:bookmarkStart w:id="83" w:name="_Toc128744993"/>
      <w:bookmarkStart w:id="84" w:name="_Toc12789058"/>
      <w:r>
        <w:rPr>
          <w:rStyle w:val="114"/>
          <w:rFonts w:hint="eastAsia" w:ascii="宋体" w:hAnsi="宋体" w:eastAsia="宋体" w:cs="宋体"/>
          <w:b/>
          <w:bCs/>
          <w:color w:val="auto"/>
          <w:highlight w:val="none"/>
        </w:rPr>
        <w:t>第四篇  商务要求</w:t>
      </w:r>
      <w:bookmarkEnd w:id="82"/>
    </w:p>
    <w:bookmarkEnd w:id="83"/>
    <w:bookmarkEnd w:id="84"/>
    <w:p>
      <w:pPr>
        <w:snapToGrid w:val="0"/>
        <w:spacing w:line="360" w:lineRule="auto"/>
        <w:ind w:firstLine="482" w:firstLineChars="200"/>
        <w:rPr>
          <w:rFonts w:hint="eastAsia" w:ascii="宋体" w:hAnsi="宋体" w:eastAsia="宋体" w:cs="宋体"/>
          <w:b/>
          <w:bCs/>
          <w:color w:val="auto"/>
          <w:sz w:val="24"/>
          <w:szCs w:val="24"/>
          <w:highlight w:val="none"/>
        </w:rPr>
      </w:pPr>
      <w:bookmarkStart w:id="85" w:name="_Toc111472681"/>
      <w:bookmarkStart w:id="86" w:name="_Toc12942"/>
      <w:bookmarkStart w:id="87" w:name="_Toc487204796"/>
      <w:r>
        <w:rPr>
          <w:rFonts w:hint="eastAsia" w:ascii="宋体" w:hAnsi="宋体" w:eastAsia="宋体" w:cs="宋体"/>
          <w:b/>
          <w:bCs/>
          <w:color w:val="auto"/>
          <w:sz w:val="24"/>
          <w:szCs w:val="24"/>
          <w:highlight w:val="none"/>
        </w:rPr>
        <w:t>一、交货时间、地点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auto"/>
          <w:kern w:val="2"/>
          <w:sz w:val="24"/>
          <w:szCs w:val="24"/>
          <w:highlight w:val="none"/>
          <w:lang w:val="en-US" w:eastAsia="zh-CN" w:bidi="ar-SA"/>
        </w:rPr>
        <w:t>成交供应商在采购合同签订之日起，按照采购人</w:t>
      </w:r>
      <w:r>
        <w:rPr>
          <w:rFonts w:hint="eastAsia" w:ascii="宋体" w:hAnsi="宋体" w:cs="宋体"/>
          <w:b w:val="0"/>
          <w:bCs w:val="0"/>
          <w:color w:val="auto"/>
          <w:kern w:val="2"/>
          <w:sz w:val="24"/>
          <w:szCs w:val="24"/>
          <w:highlight w:val="none"/>
          <w:lang w:val="en-US" w:eastAsia="zh-CN" w:bidi="ar-SA"/>
        </w:rPr>
        <w:t>实际需求</w:t>
      </w:r>
      <w:r>
        <w:rPr>
          <w:rFonts w:hint="eastAsia" w:ascii="宋体" w:hAnsi="宋体" w:eastAsia="宋体" w:cs="宋体"/>
          <w:b w:val="0"/>
          <w:bCs w:val="0"/>
          <w:color w:val="auto"/>
          <w:kern w:val="2"/>
          <w:sz w:val="24"/>
          <w:szCs w:val="24"/>
          <w:highlight w:val="none"/>
          <w:lang w:val="en-US" w:eastAsia="zh-CN" w:bidi="ar-SA"/>
        </w:rPr>
        <w:t>分批次</w:t>
      </w:r>
      <w:r>
        <w:rPr>
          <w:rFonts w:hint="eastAsia" w:ascii="宋体" w:hAnsi="宋体" w:cs="宋体"/>
          <w:b w:val="0"/>
          <w:bCs w:val="0"/>
          <w:color w:val="auto"/>
          <w:kern w:val="2"/>
          <w:sz w:val="24"/>
          <w:szCs w:val="24"/>
          <w:highlight w:val="none"/>
          <w:lang w:val="en-US" w:eastAsia="zh-CN" w:bidi="ar-SA"/>
        </w:rPr>
        <w:t>供货，每次配送数量以采购人的配送申请为准。成交</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指定专人对接</w:t>
      </w:r>
      <w:r>
        <w:rPr>
          <w:rFonts w:hint="eastAsia" w:ascii="宋体" w:hAnsi="宋体" w:eastAsia="宋体" w:cs="宋体"/>
          <w:color w:val="auto"/>
          <w:kern w:val="2"/>
          <w:sz w:val="24"/>
          <w:szCs w:val="24"/>
          <w:highlight w:val="none"/>
          <w:lang w:val="en-US" w:eastAsia="zh-CN" w:bidi="ar-SA"/>
        </w:rPr>
        <w:t>采购人</w:t>
      </w:r>
      <w:r>
        <w:rPr>
          <w:rFonts w:hint="eastAsia" w:ascii="宋体" w:hAnsi="宋体" w:cs="宋体"/>
          <w:color w:val="auto"/>
          <w:kern w:val="2"/>
          <w:sz w:val="24"/>
          <w:szCs w:val="24"/>
          <w:highlight w:val="none"/>
          <w:lang w:val="en-US" w:eastAsia="zh-CN" w:bidi="ar-SA"/>
        </w:rPr>
        <w:t>的配送申请，并提供能每天24小时待机的联系电话，</w:t>
      </w:r>
      <w:r>
        <w:rPr>
          <w:rFonts w:hint="eastAsia" w:ascii="宋体" w:hAnsi="宋体" w:eastAsia="宋体" w:cs="宋体"/>
          <w:color w:val="auto"/>
          <w:kern w:val="2"/>
          <w:sz w:val="24"/>
          <w:szCs w:val="24"/>
          <w:highlight w:val="none"/>
          <w:lang w:val="en-US" w:eastAsia="zh-CN" w:bidi="ar-SA"/>
        </w:rPr>
        <w:t>在收到采购人通知</w:t>
      </w:r>
      <w:r>
        <w:rPr>
          <w:rFonts w:hint="eastAsia" w:ascii="宋体" w:hAnsi="宋体" w:eastAsia="宋体" w:cs="宋体"/>
          <w:b w:val="0"/>
          <w:bCs w:val="0"/>
          <w:color w:val="auto"/>
          <w:kern w:val="2"/>
          <w:sz w:val="24"/>
          <w:szCs w:val="24"/>
          <w:highlight w:val="none"/>
          <w:lang w:val="en-US" w:eastAsia="zh-CN" w:bidi="ar-SA"/>
        </w:rPr>
        <w:t>供货后</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常规配送须在</w:t>
      </w:r>
      <w:r>
        <w:rPr>
          <w:rFonts w:hint="eastAsia" w:ascii="宋体" w:hAnsi="宋体" w:eastAsia="宋体" w:cs="宋体"/>
          <w:color w:val="auto"/>
          <w:sz w:val="24"/>
          <w:szCs w:val="24"/>
          <w:highlight w:val="none"/>
          <w:lang w:val="en-US" w:eastAsia="zh-CN"/>
        </w:rPr>
        <w:t>24小时内送货抵达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2"/>
          <w:szCs w:val="22"/>
          <w:u w:val="none"/>
          <w:lang w:val="en-US" w:eastAsia="zh-CN" w:bidi="ar"/>
        </w:rPr>
        <w:t>应急货物配送，供应商须在1</w:t>
      </w:r>
      <w:r>
        <w:rPr>
          <w:rFonts w:hint="eastAsia" w:ascii="宋体" w:hAnsi="宋体" w:cs="宋体"/>
          <w:i w:val="0"/>
          <w:iCs w:val="0"/>
          <w:color w:val="auto"/>
          <w:kern w:val="0"/>
          <w:sz w:val="22"/>
          <w:szCs w:val="22"/>
          <w:u w:val="none"/>
          <w:lang w:val="en-US" w:eastAsia="zh-CN" w:bidi="ar"/>
        </w:rPr>
        <w:t>至2</w:t>
      </w:r>
      <w:r>
        <w:rPr>
          <w:rFonts w:hint="eastAsia" w:ascii="宋体" w:hAnsi="宋体" w:eastAsia="宋体" w:cs="宋体"/>
          <w:i w:val="0"/>
          <w:iCs w:val="0"/>
          <w:color w:val="auto"/>
          <w:kern w:val="0"/>
          <w:sz w:val="22"/>
          <w:szCs w:val="22"/>
          <w:u w:val="none"/>
          <w:lang w:val="en-US" w:eastAsia="zh-CN" w:bidi="ar"/>
        </w:rPr>
        <w:t>小时内送货抵达院方指定地点且完成货物交接；定制用品，供应商在院方与供应商协定时间送货抵达院方指定地点且完成货物交接；具体情况划分由医院根据实际需求通知为准。</w:t>
      </w:r>
      <w:r>
        <w:rPr>
          <w:rFonts w:hint="eastAsia" w:ascii="宋体" w:hAnsi="宋体" w:cs="宋体"/>
          <w:color w:val="auto"/>
          <w:sz w:val="24"/>
          <w:szCs w:val="24"/>
          <w:highlight w:val="none"/>
          <w:lang w:val="en-US" w:eastAsia="zh-CN"/>
        </w:rPr>
        <w:t>因本次采购的五金物资同时用于维修耗材，为保障维修及时性需提供</w:t>
      </w:r>
      <w:r>
        <w:rPr>
          <w:rFonts w:hint="eastAsia" w:ascii="宋体" w:hAnsi="宋体" w:eastAsia="宋体" w:cs="宋体"/>
          <w:color w:val="auto"/>
          <w:sz w:val="24"/>
          <w:szCs w:val="24"/>
          <w:highlight w:val="none"/>
          <w:lang w:val="en-US" w:eastAsia="zh-CN"/>
        </w:rPr>
        <w:t>应急配送</w:t>
      </w:r>
      <w:r>
        <w:rPr>
          <w:rFonts w:hint="eastAsia" w:ascii="宋体" w:hAnsi="宋体" w:cs="宋体"/>
          <w:color w:val="auto"/>
          <w:sz w:val="24"/>
          <w:szCs w:val="24"/>
          <w:highlight w:val="none"/>
          <w:lang w:val="en-US" w:eastAsia="zh-CN"/>
        </w:rPr>
        <w:t>（以采购人提出需求通知为准），白天（上午8:00至下午18:00）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，夜间（18:00至第二天8:00）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小时内送货抵达院方指定地点且完成货物交接</w:t>
      </w:r>
      <w:r>
        <w:rPr>
          <w:rFonts w:hint="eastAsia" w:ascii="宋体" w:hAnsi="宋体" w:cs="宋体"/>
          <w:color w:val="auto"/>
          <w:sz w:val="24"/>
          <w:szCs w:val="24"/>
          <w:highlight w:val="none"/>
          <w:lang w:val="en-US" w:eastAsia="zh-CN"/>
        </w:rPr>
        <w:t>，并请供应商在响应文件中提供证明材料</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lang w:val="en-US" w:eastAsia="zh-CN"/>
        </w:rPr>
        <w:t>合同期限：合同签订时生效，合同金额使用完毕</w:t>
      </w:r>
      <w:r>
        <w:rPr>
          <w:rFonts w:hint="eastAsia" w:ascii="宋体" w:hAnsi="宋体" w:eastAsia="宋体" w:cs="宋体"/>
          <w:i w:val="0"/>
          <w:iCs w:val="0"/>
          <w:color w:val="000000"/>
          <w:kern w:val="0"/>
          <w:sz w:val="22"/>
          <w:szCs w:val="22"/>
          <w:u w:val="none"/>
          <w:lang w:val="en-US" w:eastAsia="zh-CN" w:bidi="ar"/>
        </w:rPr>
        <w:t>或者医院整体搬迁后</w:t>
      </w:r>
      <w:r>
        <w:rPr>
          <w:rFonts w:hint="eastAsia" w:ascii="宋体" w:hAnsi="宋体" w:eastAsia="宋体" w:cs="宋体"/>
          <w:color w:val="auto"/>
          <w:sz w:val="24"/>
          <w:szCs w:val="24"/>
          <w:highlight w:val="none"/>
          <w:lang w:val="en-US" w:eastAsia="zh-CN"/>
        </w:rPr>
        <w:t>自动终止。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1、货物到达现场后，供应商应经采购人或其指定验收单位清点品名、规格、数量；检查外</w:t>
      </w:r>
      <w:r>
        <w:rPr>
          <w:rFonts w:hint="eastAsia" w:ascii="宋体" w:hAnsi="宋体" w:eastAsia="宋体" w:cs="宋体"/>
          <w:color w:val="auto"/>
          <w:sz w:val="24"/>
          <w:szCs w:val="24"/>
          <w:highlight w:val="none"/>
          <w:lang w:val="en-US" w:eastAsia="zh-CN"/>
        </w:rPr>
        <w:t>观，作出验收记录，双方签字确认。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3、供应商应提供完备的技术资料、装箱单和合格证等，原件备查。验收合格条件如下：</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3.1商品种类、规格、数量、技术参数以及商品品牌、生产厂家等与采购合同一致，性能指标达到规定的标准。</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4、供应商提供的货物未达到询价采购规定要求，且对采购人造成损失的，由供应商承担一切责任，并赔偿所造成的损失。</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5、大型或者复杂的政府采购产品项目，采购人可邀请国家认可的质量检测机构参加验收工作。</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6、采购人需要厂家对成交供应商交付的产品（包括质量、技术参数等）进行确认的，厂家应予以配合，并出具书面意见。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7、产品包装材料归采购人所有。</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8、本项目验收标准，不得低于但不限于国家/行业技术标准：</w:t>
      </w:r>
    </w:p>
    <w:p>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snapToGrid w:val="0"/>
        <w:spacing w:line="360" w:lineRule="auto"/>
        <w:ind w:firstLine="482" w:firstLineChars="200"/>
        <w:rPr>
          <w:rFonts w:hint="eastAsia" w:ascii="宋体" w:hAnsi="宋体" w:eastAsia="宋体" w:cs="宋体"/>
          <w:b/>
          <w:bCs/>
          <w:color w:val="auto"/>
          <w:sz w:val="24"/>
          <w:szCs w:val="24"/>
          <w:highlight w:val="none"/>
        </w:rPr>
      </w:pPr>
      <w:bookmarkStart w:id="88" w:name="_Toc271054047"/>
      <w:bookmarkStart w:id="89" w:name="_Toc271808343"/>
      <w:bookmarkStart w:id="90" w:name="_Toc268626060"/>
      <w:bookmarkStart w:id="91" w:name="_Toc267320050"/>
      <w:r>
        <w:rPr>
          <w:rFonts w:hint="eastAsia" w:ascii="宋体" w:hAnsi="宋体" w:eastAsia="宋体" w:cs="宋体"/>
          <w:b/>
          <w:bCs/>
          <w:color w:val="auto"/>
          <w:sz w:val="24"/>
          <w:szCs w:val="24"/>
          <w:highlight w:val="none"/>
        </w:rPr>
        <w:t>二、质量保证</w:t>
      </w:r>
      <w:bookmarkEnd w:id="88"/>
      <w:bookmarkEnd w:id="89"/>
      <w:bookmarkEnd w:id="90"/>
      <w:bookmarkEnd w:id="91"/>
      <w:bookmarkStart w:id="92" w:name="_Toc267320051"/>
      <w:bookmarkStart w:id="93" w:name="_Toc271808344"/>
      <w:bookmarkStart w:id="94" w:name="_Toc271054048"/>
      <w:bookmarkStart w:id="95" w:name="_Toc268626061"/>
      <w:r>
        <w:rPr>
          <w:rFonts w:hint="eastAsia" w:ascii="宋体" w:hAnsi="宋体" w:eastAsia="宋体" w:cs="宋体"/>
          <w:b/>
          <w:bCs/>
          <w:color w:val="auto"/>
          <w:sz w:val="24"/>
          <w:szCs w:val="24"/>
          <w:highlight w:val="none"/>
        </w:rPr>
        <w:t>及售后服务内容：</w:t>
      </w:r>
    </w:p>
    <w:bookmarkEnd w:id="92"/>
    <w:bookmarkEnd w:id="93"/>
    <w:bookmarkEnd w:id="94"/>
    <w:bookmarkEnd w:id="95"/>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6" w:name="_Toc271054049"/>
      <w:bookmarkStart w:id="97" w:name="_Toc267320052"/>
      <w:bookmarkStart w:id="98" w:name="_Toc268626062"/>
      <w:bookmarkStart w:id="99" w:name="_Toc271808345"/>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2、合同签订前成交供应商向采购人缴纳合同金额</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%的履约保证金。</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3、履约保证金无息退还时间：履约保证金在所有产品供货完毕并经采购人验收合格后，无息退还；如果供应商不满足合同条款违约，则不退还履约保证金并验收不合格。</w:t>
      </w:r>
    </w:p>
    <w:p>
      <w:pPr>
        <w:snapToGrid w:val="0"/>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四、违约条款</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（一）除不可抗力和合同约定外，双方不得终止合同；</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（二）质量和安全:产品发生质量问题或产品出现异常情况，成交供应商需承担相应一切法律责任和经济赔偿责任，</w:t>
      </w:r>
      <w:r>
        <w:rPr>
          <w:rFonts w:hint="eastAsia" w:ascii="宋体" w:hAnsi="宋体" w:cs="宋体"/>
          <w:color w:val="FF0000"/>
          <w:sz w:val="24"/>
          <w:szCs w:val="24"/>
          <w:highlight w:val="none"/>
          <w:lang w:val="en-US" w:eastAsia="zh-CN"/>
        </w:rPr>
        <w:t>经鉴定为假冒伪劣产品或第三方检测机构检测不符合采购约定的，则视为供应商违约，由</w:t>
      </w:r>
      <w:r>
        <w:rPr>
          <w:rFonts w:hint="eastAsia" w:ascii="宋体" w:hAnsi="宋体" w:eastAsia="宋体" w:cs="宋体"/>
          <w:color w:val="FF0000"/>
          <w:sz w:val="24"/>
          <w:szCs w:val="24"/>
          <w:highlight w:val="none"/>
          <w:lang w:val="en-US" w:eastAsia="zh-CN"/>
        </w:rPr>
        <w:t>成交</w:t>
      </w:r>
      <w:r>
        <w:rPr>
          <w:rFonts w:hint="eastAsia" w:ascii="宋体" w:hAnsi="宋体" w:cs="宋体"/>
          <w:color w:val="FF0000"/>
          <w:sz w:val="24"/>
          <w:szCs w:val="24"/>
          <w:highlight w:val="none"/>
          <w:lang w:val="en-US" w:eastAsia="zh-CN"/>
        </w:rPr>
        <w:t>供应商承担所有违约责任另为此</w:t>
      </w:r>
      <w:r>
        <w:rPr>
          <w:rFonts w:hint="eastAsia" w:ascii="宋体" w:hAnsi="宋体" w:eastAsia="宋体" w:cs="宋体"/>
          <w:color w:val="FF0000"/>
          <w:sz w:val="24"/>
          <w:szCs w:val="24"/>
          <w:highlight w:val="none"/>
          <w:lang w:val="en-US" w:eastAsia="zh-CN"/>
        </w:rPr>
        <w:t>承担违约金</w:t>
      </w:r>
      <w:r>
        <w:rPr>
          <w:rFonts w:hint="eastAsia" w:ascii="宋体" w:hAnsi="宋体" w:cs="宋体"/>
          <w:color w:val="0000FF"/>
          <w:sz w:val="24"/>
          <w:szCs w:val="24"/>
          <w:highlight w:val="none"/>
          <w:lang w:val="en-US" w:eastAsia="zh-CN"/>
        </w:rPr>
        <w:t>1000</w:t>
      </w:r>
      <w:r>
        <w:rPr>
          <w:rFonts w:hint="eastAsia" w:ascii="宋体" w:hAnsi="宋体" w:eastAsia="宋体" w:cs="宋体"/>
          <w:color w:val="FF0000"/>
          <w:sz w:val="24"/>
          <w:szCs w:val="24"/>
          <w:highlight w:val="none"/>
          <w:lang w:val="en-US" w:eastAsia="zh-CN"/>
        </w:rPr>
        <w:t>元</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采购人有权终止合同，并没收履约保证金；</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（三）若接到医院供货要求后未在合同约定时间内供货或者断供，</w:t>
      </w:r>
      <w:r>
        <w:rPr>
          <w:rFonts w:hint="eastAsia" w:ascii="宋体" w:hAnsi="宋体" w:cs="宋体"/>
          <w:color w:val="FF0000"/>
          <w:sz w:val="24"/>
          <w:szCs w:val="24"/>
          <w:highlight w:val="none"/>
          <w:lang w:val="en-US" w:eastAsia="zh-CN"/>
        </w:rPr>
        <w:t>采购人有权自行找第三方供应商供货</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其中产生的所有费用（金额以第三方供应商提供的发票为准）作为违约金由供应商承担，</w:t>
      </w:r>
      <w:r>
        <w:rPr>
          <w:rFonts w:hint="eastAsia" w:ascii="宋体" w:hAnsi="宋体" w:eastAsia="宋体" w:cs="宋体"/>
          <w:color w:val="FF0000"/>
          <w:sz w:val="24"/>
          <w:szCs w:val="24"/>
          <w:highlight w:val="none"/>
          <w:lang w:val="en-US" w:eastAsia="zh-CN"/>
        </w:rPr>
        <w:t>达到5次及以上视为成交供应商违约，采购人有权终止合同，没收履约保证金；退货或换货未在1</w:t>
      </w:r>
      <w:r>
        <w:rPr>
          <w:rFonts w:hint="eastAsia" w:ascii="宋体" w:hAnsi="宋体" w:cs="宋体"/>
          <w:color w:val="FF0000"/>
          <w:sz w:val="24"/>
          <w:szCs w:val="24"/>
          <w:highlight w:val="none"/>
          <w:lang w:val="en-US" w:eastAsia="zh-CN"/>
        </w:rPr>
        <w:t>周</w:t>
      </w:r>
      <w:r>
        <w:rPr>
          <w:rFonts w:hint="eastAsia" w:ascii="宋体" w:hAnsi="宋体" w:eastAsia="宋体" w:cs="宋体"/>
          <w:color w:val="FF0000"/>
          <w:sz w:val="24"/>
          <w:szCs w:val="24"/>
          <w:highlight w:val="none"/>
          <w:lang w:val="en-US" w:eastAsia="zh-CN"/>
        </w:rPr>
        <w:t>内处理完成</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成交供应商为此承担违约金</w:t>
      </w:r>
      <w:r>
        <w:rPr>
          <w:rFonts w:hint="eastAsia" w:ascii="宋体" w:hAnsi="宋体" w:cs="宋体"/>
          <w:color w:val="0000FF"/>
          <w:sz w:val="24"/>
          <w:szCs w:val="24"/>
          <w:highlight w:val="none"/>
          <w:lang w:val="en-US" w:eastAsia="zh-CN"/>
        </w:rPr>
        <w:t>500</w:t>
      </w:r>
      <w:r>
        <w:rPr>
          <w:rFonts w:hint="eastAsia" w:ascii="宋体" w:hAnsi="宋体" w:eastAsia="宋体" w:cs="宋体"/>
          <w:color w:val="0000FF"/>
          <w:sz w:val="24"/>
          <w:szCs w:val="24"/>
          <w:highlight w:val="none"/>
          <w:lang w:val="en-US" w:eastAsia="zh-CN"/>
        </w:rPr>
        <w:t>元/次</w:t>
      </w:r>
      <w:r>
        <w:rPr>
          <w:rFonts w:hint="eastAsia" w:ascii="宋体" w:hAnsi="宋体" w:eastAsia="宋体" w:cs="宋体"/>
          <w:color w:val="FF0000"/>
          <w:sz w:val="24"/>
          <w:szCs w:val="24"/>
          <w:highlight w:val="none"/>
          <w:lang w:val="en-US" w:eastAsia="zh-CN"/>
        </w:rPr>
        <w:t>；</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（四）处理产品相关纠纷和投诉不积极或者无效，成交供应商为此承担违约金</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00</w:t>
      </w:r>
      <w:r>
        <w:rPr>
          <w:rFonts w:hint="eastAsia" w:ascii="宋体" w:hAnsi="宋体" w:eastAsia="宋体" w:cs="宋体"/>
          <w:color w:val="FF0000"/>
          <w:sz w:val="24"/>
          <w:szCs w:val="24"/>
          <w:highlight w:val="none"/>
          <w:lang w:val="en-US" w:eastAsia="zh-CN"/>
        </w:rPr>
        <w:t>元/次；</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五</w:t>
      </w:r>
      <w:r>
        <w:rPr>
          <w:rFonts w:hint="eastAsia" w:ascii="宋体" w:hAnsi="宋体" w:eastAsia="宋体" w:cs="宋体"/>
          <w:color w:val="FF0000"/>
          <w:sz w:val="24"/>
          <w:szCs w:val="24"/>
          <w:highlight w:val="none"/>
          <w:lang w:val="en-US" w:eastAsia="zh-CN"/>
        </w:rPr>
        <w:t>）所有违约金优先在结算金额中扣除。</w:t>
      </w:r>
    </w:p>
    <w:bookmarkEnd w:id="96"/>
    <w:bookmarkEnd w:id="97"/>
    <w:bookmarkEnd w:id="98"/>
    <w:bookmarkEnd w:id="99"/>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0" w:name="_Toc268626063"/>
      <w:bookmarkStart w:id="101" w:name="_Toc271054050"/>
      <w:bookmarkStart w:id="102" w:name="_Toc267320053"/>
      <w:bookmarkStart w:id="103" w:name="_Toc271808346"/>
    </w:p>
    <w:bookmarkEnd w:id="100"/>
    <w:bookmarkEnd w:id="101"/>
    <w:bookmarkEnd w:id="102"/>
    <w:bookmarkEnd w:id="103"/>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5"/>
    <w:p>
      <w:pPr>
        <w:pStyle w:val="5"/>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4" w:name="_Toc4997"/>
      <w:r>
        <w:rPr>
          <w:rStyle w:val="114"/>
          <w:rFonts w:hint="eastAsia" w:ascii="宋体" w:hAnsi="宋体" w:eastAsia="宋体" w:cs="宋体"/>
          <w:b/>
          <w:bCs/>
          <w:color w:val="auto"/>
          <w:highlight w:val="none"/>
        </w:rPr>
        <w:t>第五篇  格式合同（样本）</w:t>
      </w:r>
      <w:bookmarkEnd w:id="104"/>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4"/>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5"/>
        <w:spacing w:line="360" w:lineRule="auto"/>
        <w:jc w:val="center"/>
        <w:rPr>
          <w:rFonts w:hint="eastAsia" w:ascii="宋体" w:hAnsi="宋体" w:eastAsia="宋体" w:cs="宋体"/>
          <w:b w:val="0"/>
          <w:color w:val="auto"/>
          <w:highlight w:val="none"/>
        </w:rPr>
      </w:pPr>
      <w:bookmarkStart w:id="105" w:name="_Toc2024"/>
      <w:r>
        <w:rPr>
          <w:rFonts w:hint="eastAsia" w:ascii="宋体" w:hAnsi="宋体" w:eastAsia="宋体" w:cs="宋体"/>
          <w:bCs w:val="0"/>
          <w:color w:val="auto"/>
          <w:highlight w:val="none"/>
        </w:rPr>
        <w:t>第六篇  响应文件格式要求</w:t>
      </w:r>
      <w:bookmarkEnd w:id="86"/>
      <w:bookmarkEnd w:id="87"/>
      <w:bookmarkEnd w:id="105"/>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pPr>
        <w:pStyle w:val="6"/>
        <w:spacing w:before="0" w:after="0" w:line="360" w:lineRule="auto"/>
        <w:rPr>
          <w:rFonts w:hint="eastAsia" w:ascii="宋体" w:hAnsi="宋体" w:cs="宋体"/>
          <w:color w:val="auto"/>
          <w:sz w:val="24"/>
          <w:szCs w:val="24"/>
          <w:highlight w:val="none"/>
        </w:rPr>
      </w:pPr>
      <w:bookmarkStart w:id="106" w:name="_Toc17444"/>
      <w:bookmarkStart w:id="107" w:name="_Toc487204797"/>
      <w:bookmarkStart w:id="108" w:name="_Toc486608277"/>
      <w:bookmarkStart w:id="109" w:name="_Toc14854"/>
      <w:bookmarkStart w:id="110" w:name="_Toc486585240"/>
      <w:r>
        <w:rPr>
          <w:rFonts w:hint="eastAsia" w:ascii="宋体" w:hAnsi="宋体" w:cs="宋体"/>
          <w:color w:val="auto"/>
          <w:sz w:val="24"/>
          <w:szCs w:val="24"/>
          <w:highlight w:val="none"/>
        </w:rPr>
        <w:t>一、经济部分</w:t>
      </w:r>
      <w:bookmarkEnd w:id="106"/>
      <w:bookmarkEnd w:id="107"/>
      <w:bookmarkEnd w:id="108"/>
      <w:bookmarkEnd w:id="109"/>
      <w:bookmarkEnd w:id="110"/>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3"/>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3"/>
        <w:rPr>
          <w:rFonts w:hint="eastAsia" w:ascii="宋体" w:hAnsi="宋体" w:cs="宋体"/>
          <w:color w:val="auto"/>
          <w:sz w:val="24"/>
          <w:szCs w:val="24"/>
          <w:highlight w:val="none"/>
        </w:rPr>
      </w:pPr>
    </w:p>
    <w:p>
      <w:pPr>
        <w:pStyle w:val="6"/>
        <w:spacing w:before="0" w:after="0" w:line="360" w:lineRule="auto"/>
        <w:rPr>
          <w:rFonts w:hint="eastAsia" w:ascii="宋体" w:hAnsi="宋体" w:cs="宋体"/>
          <w:color w:val="auto"/>
          <w:sz w:val="24"/>
          <w:szCs w:val="24"/>
          <w:highlight w:val="none"/>
        </w:rPr>
      </w:pPr>
      <w:bookmarkStart w:id="111" w:name="_Toc3192"/>
      <w:bookmarkStart w:id="112" w:name="_Toc486585241"/>
      <w:bookmarkStart w:id="113" w:name="_Toc487204798"/>
      <w:bookmarkStart w:id="114" w:name="_Toc7284"/>
      <w:bookmarkStart w:id="115" w:name="_Toc486608278"/>
      <w:r>
        <w:rPr>
          <w:rFonts w:hint="eastAsia" w:ascii="宋体" w:hAnsi="宋体" w:cs="宋体"/>
          <w:color w:val="auto"/>
          <w:sz w:val="24"/>
          <w:szCs w:val="24"/>
          <w:highlight w:val="none"/>
        </w:rPr>
        <w:t>二、技术部分</w:t>
      </w:r>
      <w:bookmarkEnd w:id="111"/>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6"/>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6" w:name="_Toc486585242"/>
      <w:bookmarkStart w:id="117" w:name="_Toc486608279"/>
      <w:bookmarkStart w:id="118" w:name="_Toc487204799"/>
      <w:bookmarkStart w:id="119" w:name="_Toc17029"/>
      <w:bookmarkStart w:id="120" w:name="_Toc8428"/>
      <w:r>
        <w:rPr>
          <w:rFonts w:hint="eastAsia" w:ascii="宋体" w:hAnsi="宋体" w:cs="宋体"/>
          <w:color w:val="auto"/>
          <w:sz w:val="24"/>
          <w:szCs w:val="24"/>
          <w:highlight w:val="none"/>
        </w:rPr>
        <w:t>三、商务部分</w:t>
      </w:r>
      <w:bookmarkEnd w:id="116"/>
      <w:bookmarkEnd w:id="117"/>
      <w:bookmarkEnd w:id="118"/>
      <w:bookmarkEnd w:id="119"/>
      <w:bookmarkEnd w:id="12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rPr>
          <w:rFonts w:hint="eastAsia" w:ascii="宋体" w:hAnsi="宋体" w:cs="宋体"/>
          <w:color w:val="auto"/>
          <w:highlight w:val="none"/>
        </w:rPr>
      </w:pPr>
    </w:p>
    <w:p>
      <w:pPr>
        <w:pStyle w:val="6"/>
        <w:spacing w:before="0" w:after="0" w:line="360" w:lineRule="auto"/>
        <w:rPr>
          <w:rFonts w:hint="eastAsia" w:ascii="宋体" w:hAnsi="宋体" w:cs="宋体"/>
          <w:color w:val="auto"/>
          <w:sz w:val="24"/>
          <w:szCs w:val="24"/>
          <w:highlight w:val="none"/>
        </w:rPr>
      </w:pPr>
      <w:bookmarkStart w:id="121" w:name="_Toc8290"/>
      <w:bookmarkStart w:id="122" w:name="_Toc487204800"/>
      <w:bookmarkStart w:id="123" w:name="_Toc23557"/>
      <w:bookmarkStart w:id="124" w:name="_Toc3579"/>
      <w:bookmarkStart w:id="125" w:name="_Toc486585243"/>
      <w:bookmarkStart w:id="126" w:name="_Toc486608280"/>
      <w:r>
        <w:rPr>
          <w:rFonts w:hint="eastAsia" w:ascii="宋体" w:hAnsi="宋体" w:cs="宋体"/>
          <w:color w:val="auto"/>
          <w:sz w:val="24"/>
          <w:szCs w:val="24"/>
          <w:highlight w:val="none"/>
        </w:rPr>
        <w:t>四、资格条件及其他</w:t>
      </w:r>
      <w:bookmarkEnd w:id="121"/>
      <w:bookmarkEnd w:id="122"/>
      <w:bookmarkEnd w:id="123"/>
      <w:bookmarkEnd w:id="124"/>
      <w:bookmarkEnd w:id="125"/>
      <w:bookmarkEnd w:id="126"/>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3"/>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3"/>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6"/>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7"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8" w:name="_Toc487204801"/>
      <w:bookmarkStart w:id="129" w:name="_Toc11824"/>
      <w:bookmarkStart w:id="130" w:name="_Toc486585244"/>
      <w:bookmarkStart w:id="131" w:name="_Toc29032"/>
      <w:bookmarkStart w:id="132" w:name="_Toc486608281"/>
      <w:r>
        <w:rPr>
          <w:rFonts w:hint="eastAsia" w:ascii="宋体" w:hAnsi="宋体" w:cs="宋体"/>
          <w:color w:val="auto"/>
          <w:sz w:val="24"/>
          <w:szCs w:val="24"/>
          <w:highlight w:val="none"/>
        </w:rPr>
        <w:t>五、其他应提供的资料</w:t>
      </w:r>
      <w:bookmarkEnd w:id="127"/>
      <w:bookmarkEnd w:id="128"/>
      <w:bookmarkEnd w:id="129"/>
      <w:bookmarkEnd w:id="130"/>
      <w:bookmarkEnd w:id="131"/>
      <w:bookmarkEnd w:id="132"/>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11C75E"/>
    <w:multiLevelType w:val="singleLevel"/>
    <w:tmpl w:val="5C11C75E"/>
    <w:lvl w:ilvl="0" w:tentative="0">
      <w:start w:val="1"/>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7"/>
  </w:num>
  <w:num w:numId="8">
    <w:abstractNumId w:val="2"/>
  </w:num>
  <w:num w:numId="9">
    <w:abstractNumId w:val="3"/>
  </w:num>
  <w:num w:numId="10">
    <w:abstractNumId w:val="12"/>
  </w:num>
  <w:num w:numId="11">
    <w:abstractNumId w:val="5"/>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jhmODViODk5ZTdkYWI0MTIzMmRiMDkwOThiNG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086B8D"/>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9F7F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1D3AE0"/>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2FC81AB6"/>
    <w:rsid w:val="300B7F45"/>
    <w:rsid w:val="300F420C"/>
    <w:rsid w:val="30447604"/>
    <w:rsid w:val="307A69DE"/>
    <w:rsid w:val="30944B56"/>
    <w:rsid w:val="30990304"/>
    <w:rsid w:val="30AD5646"/>
    <w:rsid w:val="310A38D5"/>
    <w:rsid w:val="31B40111"/>
    <w:rsid w:val="31C3209F"/>
    <w:rsid w:val="31C50788"/>
    <w:rsid w:val="31FA4A16"/>
    <w:rsid w:val="31FD25A7"/>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304C7"/>
    <w:rsid w:val="496A4929"/>
    <w:rsid w:val="49A224D0"/>
    <w:rsid w:val="49FB517E"/>
    <w:rsid w:val="4A243541"/>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5E1BC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next w:val="25"/>
    <w:link w:val="71"/>
    <w:qFormat/>
    <w:uiPriority w:val="0"/>
    <w:pPr>
      <w:spacing w:line="700" w:lineRule="exact"/>
      <w:ind w:left="960"/>
    </w:pPr>
    <w:rPr>
      <w:sz w:val="44"/>
    </w:rPr>
  </w:style>
  <w:style w:type="paragraph" w:customStyle="1" w:styleId="25">
    <w:name w:val="目录 71"/>
    <w:basedOn w:val="1"/>
    <w:next w:val="1"/>
    <w:qFormat/>
    <w:uiPriority w:val="0"/>
    <w:pPr>
      <w:ind w:left="2520"/>
    </w:p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rPr>
      <w:rFonts w:ascii="Times New Roman" w:hAnsi="Times New Roman" w:eastAsia="宋体"/>
      <w:sz w:val="24"/>
    </w:r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10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next w:val="38"/>
    <w:qFormat/>
    <w:uiPriority w:val="0"/>
    <w:pPr>
      <w:tabs>
        <w:tab w:val="center" w:pos="4153"/>
        <w:tab w:val="right" w:pos="8306"/>
      </w:tabs>
      <w:snapToGrid w:val="0"/>
      <w:jc w:val="left"/>
    </w:pPr>
    <w:rPr>
      <w:sz w:val="18"/>
    </w:rPr>
  </w:style>
  <w:style w:type="paragraph" w:customStyle="1" w:styleId="38">
    <w:name w:val="索引 51"/>
    <w:basedOn w:val="1"/>
    <w:next w:val="1"/>
    <w:qFormat/>
    <w:uiPriority w:val="99"/>
    <w:pPr>
      <w:ind w:left="1680"/>
    </w:pPr>
    <w:rPr>
      <w:rFonts w:ascii="Calibri" w:hAnsi="Calibri"/>
    </w:rPr>
  </w:style>
  <w:style w:type="paragraph" w:styleId="39">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1"/>
    <w:next w:val="21"/>
    <w:link w:val="110"/>
    <w:qFormat/>
    <w:uiPriority w:val="0"/>
    <w:pPr>
      <w:adjustRightInd/>
      <w:spacing w:line="240" w:lineRule="auto"/>
      <w:textAlignment w:val="auto"/>
    </w:pPr>
  </w:style>
  <w:style w:type="paragraph" w:styleId="59">
    <w:name w:val="Body Text First Indent 2"/>
    <w:basedOn w:val="24"/>
    <w:next w:val="3"/>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4"/>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1"/>
    <w:qFormat/>
    <w:uiPriority w:val="0"/>
    <w:rPr>
      <w:sz w:val="24"/>
    </w:rPr>
  </w:style>
  <w:style w:type="character" w:customStyle="1" w:styleId="76">
    <w:name w:val="日期 Char"/>
    <w:link w:val="34"/>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39"/>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6"/>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5"/>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5"/>
    <w:qFormat/>
    <w:uiPriority w:val="0"/>
    <w:rPr>
      <w:rFonts w:ascii="Arial" w:hAnsi="Arial" w:eastAsia="黑体"/>
      <w:b/>
      <w:kern w:val="2"/>
      <w:sz w:val="32"/>
    </w:rPr>
  </w:style>
  <w:style w:type="paragraph" w:customStyle="1" w:styleId="115">
    <w:name w:val="标题3——2"/>
    <w:basedOn w:val="6"/>
    <w:next w:val="3"/>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9"/>
    <w:qFormat/>
    <w:uiPriority w:val="0"/>
    <w:rPr>
      <w:rFonts w:ascii="Tahoma" w:hAnsi="Tahoma"/>
      <w:sz w:val="24"/>
    </w:rPr>
  </w:style>
  <w:style w:type="paragraph" w:customStyle="1" w:styleId="128">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2"/>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7"/>
    <w:qFormat/>
    <w:uiPriority w:val="0"/>
    <w:pPr>
      <w:ind w:firstLine="480" w:firstLineChars="200"/>
    </w:pPr>
  </w:style>
  <w:style w:type="paragraph" w:customStyle="1" w:styleId="173">
    <w:name w:val="表格内文字"/>
    <w:basedOn w:val="32"/>
    <w:qFormat/>
    <w:uiPriority w:val="0"/>
    <w:pPr>
      <w:adjustRightInd w:val="0"/>
    </w:pPr>
    <w:rPr>
      <w:color w:val="000000"/>
      <w:lang w:val="en-GB"/>
    </w:rPr>
  </w:style>
  <w:style w:type="paragraph" w:customStyle="1" w:styleId="174">
    <w:name w:val="Char Char Char Char Char Char Char"/>
    <w:basedOn w:val="19"/>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7"/>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
    <w:qFormat/>
    <w:uiPriority w:val="0"/>
    <w:pPr>
      <w:adjustRightInd w:val="0"/>
      <w:snapToGrid w:val="0"/>
      <w:spacing w:line="440" w:lineRule="exact"/>
      <w:ind w:firstLine="567"/>
    </w:pPr>
    <w:rPr>
      <w:sz w:val="28"/>
    </w:rPr>
  </w:style>
  <w:style w:type="paragraph" w:customStyle="1" w:styleId="233">
    <w:name w:val="样式4"/>
    <w:basedOn w:val="7"/>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5"/>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15401</Words>
  <Characters>20360</Characters>
  <Lines>163</Lines>
  <Paragraphs>46</Paragraphs>
  <TotalTime>8</TotalTime>
  <ScaleCrop>false</ScaleCrop>
  <LinksUpToDate>false</LinksUpToDate>
  <CharactersWithSpaces>21592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2024-07-22T07:46:00Z</cp:lastPrinted>
  <dcterms:modified xsi:type="dcterms:W3CDTF">2025-03-19T07:37:00Z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