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CE65F">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重庆市荣昌区人民医院</w:t>
      </w:r>
    </w:p>
    <w:p w14:paraId="1C30B4CF">
      <w:pPr>
        <w:spacing w:line="600" w:lineRule="exact"/>
        <w:jc w:val="center"/>
        <w:rPr>
          <w:rFonts w:hint="eastAsia"/>
        </w:rPr>
      </w:pPr>
      <w:r>
        <w:rPr>
          <w:rFonts w:hint="eastAsia" w:ascii="方正小标宋_GBK" w:hAnsi="方正小标宋_GBK" w:eastAsia="方正小标宋_GBK" w:cs="方正小标宋_GBK"/>
          <w:sz w:val="44"/>
          <w:szCs w:val="44"/>
        </w:rPr>
        <w:t>采购需求公告</w:t>
      </w:r>
    </w:p>
    <w:p w14:paraId="06773296">
      <w:pPr>
        <w:spacing w:line="560" w:lineRule="exact"/>
        <w:ind w:firstLine="640" w:firstLineChars="200"/>
        <w:rPr>
          <w:rFonts w:hint="eastAsia" w:ascii="方正仿宋_GBK" w:hAnsi="方正仿宋_GBK" w:eastAsia="方正仿宋_GBK" w:cs="方正仿宋_GBK"/>
          <w:sz w:val="32"/>
          <w:szCs w:val="32"/>
        </w:rPr>
      </w:pPr>
    </w:p>
    <w:p w14:paraId="1198A2B9">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为满足医院发展需要，我院拟对下述</w:t>
      </w:r>
      <w:r>
        <w:rPr>
          <w:rFonts w:hint="eastAsia" w:ascii="方正仿宋_GBK" w:hAnsi="方正仿宋_GBK" w:eastAsia="方正仿宋_GBK" w:cs="方正仿宋_GBK"/>
          <w:sz w:val="32"/>
          <w:szCs w:val="32"/>
          <w:lang w:eastAsia="zh-CN"/>
        </w:rPr>
        <w:t>转诊系统</w:t>
      </w:r>
      <w:r>
        <w:rPr>
          <w:rFonts w:hint="eastAsia" w:ascii="方正仿宋_GBK" w:hAnsi="方正仿宋_GBK" w:eastAsia="方正仿宋_GBK" w:cs="方正仿宋_GBK"/>
          <w:sz w:val="32"/>
          <w:szCs w:val="32"/>
        </w:rPr>
        <w:t xml:space="preserve">进行采购前产品信息收集，欢迎各潜在厂商来院推介。 </w:t>
      </w:r>
    </w:p>
    <w:p w14:paraId="581629F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一、推介产品明细</w:t>
      </w:r>
    </w:p>
    <w:tbl>
      <w:tblPr>
        <w:tblStyle w:val="4"/>
        <w:tblpPr w:leftFromText="180" w:rightFromText="180" w:vertAnchor="text" w:horzAnchor="page" w:tblpXSpec="center" w:tblpY="131"/>
        <w:tblOverlap w:val="never"/>
        <w:tblW w:w="9392" w:type="dxa"/>
        <w:jc w:val="center"/>
        <w:tblLayout w:type="fixed"/>
        <w:tblCellMar>
          <w:top w:w="0" w:type="dxa"/>
          <w:left w:w="108" w:type="dxa"/>
          <w:bottom w:w="0" w:type="dxa"/>
          <w:right w:w="108" w:type="dxa"/>
        </w:tblCellMar>
      </w:tblPr>
      <w:tblGrid>
        <w:gridCol w:w="587"/>
        <w:gridCol w:w="1666"/>
        <w:gridCol w:w="1441"/>
        <w:gridCol w:w="815"/>
        <w:gridCol w:w="4883"/>
      </w:tblGrid>
      <w:tr w14:paraId="5D8194AE">
        <w:tblPrEx>
          <w:tblCellMar>
            <w:top w:w="0" w:type="dxa"/>
            <w:left w:w="108" w:type="dxa"/>
            <w:bottom w:w="0" w:type="dxa"/>
            <w:right w:w="108" w:type="dxa"/>
          </w:tblCellMar>
        </w:tblPrEx>
        <w:trPr>
          <w:trHeight w:val="400" w:hRule="atLeast"/>
          <w:tblHeader/>
          <w:jc w:val="center"/>
        </w:trPr>
        <w:tc>
          <w:tcPr>
            <w:tcW w:w="587" w:type="dxa"/>
            <w:tcBorders>
              <w:top w:val="single" w:color="000000" w:sz="8" w:space="0"/>
              <w:left w:val="single" w:color="000000" w:sz="8" w:space="0"/>
              <w:bottom w:val="single" w:color="000000" w:sz="8" w:space="0"/>
              <w:right w:val="single" w:color="000000" w:sz="8" w:space="0"/>
            </w:tcBorders>
            <w:noWrap w:val="0"/>
            <w:vAlign w:val="center"/>
          </w:tcPr>
          <w:p w14:paraId="5719A7AA">
            <w:pPr>
              <w:spacing w:line="4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666" w:type="dxa"/>
            <w:tcBorders>
              <w:top w:val="single" w:color="000000" w:sz="8" w:space="0"/>
              <w:left w:val="nil"/>
              <w:bottom w:val="single" w:color="000000" w:sz="8" w:space="0"/>
              <w:right w:val="single" w:color="000000" w:sz="8" w:space="0"/>
            </w:tcBorders>
            <w:noWrap w:val="0"/>
            <w:vAlign w:val="center"/>
          </w:tcPr>
          <w:p w14:paraId="69565947">
            <w:pPr>
              <w:spacing w:line="4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软件名称</w:t>
            </w:r>
          </w:p>
        </w:tc>
        <w:tc>
          <w:tcPr>
            <w:tcW w:w="1441" w:type="dxa"/>
            <w:tcBorders>
              <w:top w:val="single" w:color="000000" w:sz="8" w:space="0"/>
              <w:left w:val="nil"/>
              <w:bottom w:val="single" w:color="000000" w:sz="8" w:space="0"/>
              <w:right w:val="single" w:color="000000" w:sz="8" w:space="0"/>
            </w:tcBorders>
            <w:noWrap w:val="0"/>
            <w:vAlign w:val="center"/>
          </w:tcPr>
          <w:p w14:paraId="5A108669">
            <w:pPr>
              <w:spacing w:line="4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预算单价（万元）</w:t>
            </w:r>
          </w:p>
        </w:tc>
        <w:tc>
          <w:tcPr>
            <w:tcW w:w="815" w:type="dxa"/>
            <w:tcBorders>
              <w:top w:val="single" w:color="000000" w:sz="8" w:space="0"/>
              <w:left w:val="nil"/>
              <w:bottom w:val="single" w:color="000000" w:sz="8" w:space="0"/>
              <w:right w:val="single" w:color="000000" w:sz="8" w:space="0"/>
            </w:tcBorders>
            <w:noWrap w:val="0"/>
            <w:vAlign w:val="center"/>
          </w:tcPr>
          <w:p w14:paraId="515E474F">
            <w:pPr>
              <w:spacing w:line="40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数量</w:t>
            </w:r>
          </w:p>
        </w:tc>
        <w:tc>
          <w:tcPr>
            <w:tcW w:w="4883" w:type="dxa"/>
            <w:tcBorders>
              <w:top w:val="single" w:color="000000" w:sz="8" w:space="0"/>
              <w:left w:val="nil"/>
              <w:bottom w:val="single" w:color="000000" w:sz="8" w:space="0"/>
              <w:right w:val="single" w:color="000000" w:sz="8" w:space="0"/>
            </w:tcBorders>
            <w:noWrap w:val="0"/>
            <w:vAlign w:val="center"/>
          </w:tcPr>
          <w:p w14:paraId="1C3ADD69">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核心参数</w:t>
            </w:r>
          </w:p>
        </w:tc>
      </w:tr>
      <w:tr w14:paraId="2A9E1307">
        <w:tblPrEx>
          <w:tblCellMar>
            <w:top w:w="0" w:type="dxa"/>
            <w:left w:w="108" w:type="dxa"/>
            <w:bottom w:w="0" w:type="dxa"/>
            <w:right w:w="108" w:type="dxa"/>
          </w:tblCellMar>
        </w:tblPrEx>
        <w:trPr>
          <w:trHeight w:val="845"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14:paraId="545F8290">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74811CF">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双向转诊应用系统</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5CA5578">
            <w:pPr>
              <w:spacing w:line="560" w:lineRule="exact"/>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30（一期）</w:t>
            </w:r>
          </w:p>
        </w:tc>
        <w:tc>
          <w:tcPr>
            <w:tcW w:w="815" w:type="dxa"/>
            <w:tcBorders>
              <w:top w:val="single" w:color="auto" w:sz="4" w:space="0"/>
              <w:left w:val="single" w:color="auto" w:sz="4" w:space="0"/>
              <w:bottom w:val="single" w:color="auto" w:sz="4" w:space="0"/>
              <w:right w:val="single" w:color="auto" w:sz="4" w:space="0"/>
            </w:tcBorders>
            <w:noWrap w:val="0"/>
            <w:vAlign w:val="center"/>
          </w:tcPr>
          <w:p w14:paraId="6AF43B92">
            <w:pPr>
              <w:spacing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4883" w:type="dxa"/>
            <w:tcBorders>
              <w:top w:val="single" w:color="auto" w:sz="4" w:space="0"/>
              <w:left w:val="single" w:color="auto" w:sz="4" w:space="0"/>
              <w:bottom w:val="single" w:color="auto" w:sz="4" w:space="0"/>
              <w:right w:val="single" w:color="auto" w:sz="4" w:space="0"/>
            </w:tcBorders>
            <w:noWrap w:val="0"/>
            <w:vAlign w:val="center"/>
          </w:tcPr>
          <w:p w14:paraId="08FD71FC">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bookmarkStart w:id="0" w:name="_Toc109218851"/>
            <w:r>
              <w:rPr>
                <w:rFonts w:hint="eastAsia" w:ascii="Calibri" w:hAnsi="Calibri" w:eastAsia="方正仿宋_GBK" w:cs="Times New Roman"/>
                <w:b w:val="0"/>
                <w:bCs w:val="0"/>
                <w:spacing w:val="-3"/>
                <w:kern w:val="0"/>
                <w:sz w:val="21"/>
                <w:szCs w:val="24"/>
                <w:lang w:val="en-US" w:eastAsia="zh-CN" w:bidi="ar-SA"/>
              </w:rPr>
              <w:t>1、</w:t>
            </w:r>
            <w:bookmarkEnd w:id="0"/>
            <w:r>
              <w:rPr>
                <w:rFonts w:hint="eastAsia" w:ascii="Calibri" w:hAnsi="Calibri" w:eastAsia="方正仿宋_GBK" w:cs="Times New Roman"/>
                <w:b w:val="0"/>
                <w:bCs w:val="0"/>
                <w:spacing w:val="-3"/>
                <w:kern w:val="0"/>
                <w:sz w:val="21"/>
                <w:szCs w:val="24"/>
                <w:lang w:val="en-US" w:eastAsia="zh-CN" w:bidi="ar-SA"/>
              </w:rPr>
              <w:t>双向转诊应用系统</w:t>
            </w:r>
          </w:p>
          <w:p w14:paraId="543E27BD">
            <w:pPr>
              <w:keepNext w:val="0"/>
              <w:keepLines w:val="0"/>
              <w:pageBreakBefore w:val="0"/>
              <w:widowControl/>
              <w:kinsoku/>
              <w:wordWrap/>
              <w:overflowPunct/>
              <w:topLinePunct w:val="0"/>
              <w:autoSpaceDE/>
              <w:autoSpaceDN/>
              <w:bidi w:val="0"/>
              <w:adjustRightInd/>
              <w:spacing w:line="240" w:lineRule="auto"/>
              <w:ind w:firstLine="408" w:firstLineChars="200"/>
              <w:jc w:val="left"/>
              <w:textAlignment w:val="auto"/>
              <w:rPr>
                <w:rFonts w:hint="eastAsia" w:ascii="Calibri" w:hAnsi="Calibri" w:eastAsia="方正仿宋_GBK" w:cs="Times New Roman"/>
                <w:spacing w:val="-3"/>
                <w:kern w:val="0"/>
                <w:sz w:val="21"/>
                <w:szCs w:val="24"/>
                <w:lang w:val="en-US" w:eastAsia="zh-CN" w:bidi="ar-SA"/>
              </w:rPr>
            </w:pPr>
            <w:r>
              <w:rPr>
                <w:rFonts w:hint="eastAsia" w:ascii="Calibri" w:hAnsi="Calibri" w:eastAsia="方正仿宋_GBK" w:cs="Times New Roman"/>
                <w:spacing w:val="-3"/>
                <w:kern w:val="0"/>
                <w:sz w:val="21"/>
                <w:szCs w:val="24"/>
                <w:lang w:val="en-US" w:eastAsia="zh-CN" w:bidi="ar-SA"/>
              </w:rPr>
              <w:t>该系统能与</w:t>
            </w:r>
            <w:r>
              <w:rPr>
                <w:rFonts w:hint="eastAsia" w:eastAsia="方正仿宋_GBK" w:cs="Times New Roman"/>
                <w:spacing w:val="-3"/>
                <w:kern w:val="0"/>
                <w:sz w:val="21"/>
                <w:szCs w:val="24"/>
                <w:lang w:val="en-US" w:eastAsia="zh-CN" w:bidi="ar-SA"/>
              </w:rPr>
              <w:t>医共本总</w:t>
            </w:r>
            <w:r>
              <w:rPr>
                <w:rFonts w:hint="eastAsia" w:ascii="Calibri" w:hAnsi="Calibri" w:eastAsia="方正仿宋_GBK" w:cs="Times New Roman"/>
                <w:spacing w:val="-3"/>
                <w:kern w:val="0"/>
                <w:sz w:val="21"/>
                <w:szCs w:val="24"/>
                <w:lang w:val="en-US" w:eastAsia="zh-CN" w:bidi="ar-SA"/>
              </w:rPr>
              <w:t>院和基层卫生医疗机构</w:t>
            </w:r>
            <w:r>
              <w:rPr>
                <w:rFonts w:hint="eastAsia" w:eastAsia="方正仿宋_GBK" w:cs="Times New Roman"/>
                <w:spacing w:val="-3"/>
                <w:kern w:val="0"/>
                <w:sz w:val="21"/>
                <w:szCs w:val="24"/>
                <w:lang w:val="en-US" w:eastAsia="zh-CN" w:bidi="ar-SA"/>
              </w:rPr>
              <w:t>（</w:t>
            </w:r>
            <w:r>
              <w:rPr>
                <w:rFonts w:hint="eastAsia" w:ascii="Calibri" w:hAnsi="Calibri" w:eastAsia="方正仿宋_GBK" w:cs="Times New Roman"/>
                <w:spacing w:val="-3"/>
                <w:kern w:val="0"/>
                <w:sz w:val="21"/>
                <w:szCs w:val="24"/>
                <w:lang w:val="en-US" w:eastAsia="zh-CN" w:bidi="ar-SA"/>
              </w:rPr>
              <w:t>分院或合作医院</w:t>
            </w:r>
            <w:r>
              <w:rPr>
                <w:rFonts w:hint="eastAsia" w:eastAsia="方正仿宋_GBK" w:cs="Times New Roman"/>
                <w:spacing w:val="-3"/>
                <w:kern w:val="0"/>
                <w:sz w:val="21"/>
                <w:szCs w:val="24"/>
                <w:lang w:val="en-US" w:eastAsia="zh-CN" w:bidi="ar-SA"/>
              </w:rPr>
              <w:t>，下同）</w:t>
            </w:r>
            <w:r>
              <w:rPr>
                <w:rFonts w:hint="eastAsia" w:ascii="Calibri" w:hAnsi="Calibri" w:eastAsia="方正仿宋_GBK" w:cs="Times New Roman"/>
                <w:spacing w:val="-3"/>
                <w:kern w:val="0"/>
                <w:sz w:val="21"/>
                <w:szCs w:val="24"/>
                <w:lang w:val="en-US" w:eastAsia="zh-CN" w:bidi="ar-SA"/>
              </w:rPr>
              <w:t>HIS系统对接</w:t>
            </w:r>
            <w:r>
              <w:rPr>
                <w:rFonts w:hint="eastAsia" w:eastAsia="方正仿宋_GBK" w:cs="Times New Roman"/>
                <w:spacing w:val="-3"/>
                <w:kern w:val="0"/>
                <w:sz w:val="21"/>
                <w:szCs w:val="24"/>
                <w:lang w:val="en-US" w:eastAsia="zh-CN" w:bidi="ar-SA"/>
              </w:rPr>
              <w:t>，</w:t>
            </w:r>
            <w:r>
              <w:rPr>
                <w:rFonts w:hint="eastAsia" w:ascii="Calibri" w:hAnsi="Calibri" w:eastAsia="方正仿宋_GBK" w:cs="Times New Roman"/>
                <w:spacing w:val="-3"/>
                <w:kern w:val="0"/>
                <w:sz w:val="21"/>
                <w:szCs w:val="24"/>
                <w:lang w:val="en-US" w:eastAsia="zh-CN" w:bidi="ar-SA"/>
              </w:rPr>
              <w:t>支持合作医院、医共体成员单位间医院 HIS系统桌面应用与手机终端使用的APP同步使用，让医共体内相关人员</w:t>
            </w:r>
            <w:r>
              <w:rPr>
                <w:rFonts w:hint="eastAsia" w:eastAsia="方正仿宋_GBK" w:cs="Times New Roman"/>
                <w:spacing w:val="-3"/>
                <w:kern w:val="0"/>
                <w:sz w:val="21"/>
                <w:szCs w:val="24"/>
                <w:lang w:val="en-US" w:eastAsia="zh-CN" w:bidi="ar-SA"/>
              </w:rPr>
              <w:t>（包括患者）</w:t>
            </w:r>
            <w:r>
              <w:rPr>
                <w:rFonts w:hint="eastAsia" w:ascii="Calibri" w:hAnsi="Calibri" w:eastAsia="方正仿宋_GBK" w:cs="Times New Roman"/>
                <w:spacing w:val="-3"/>
                <w:kern w:val="0"/>
                <w:sz w:val="21"/>
                <w:szCs w:val="24"/>
                <w:lang w:val="en-US" w:eastAsia="zh-CN" w:bidi="ar-SA"/>
              </w:rPr>
              <w:t>都成为双向转诊的参与者，实现总院与分院或合作医院利用双向转诊应用系统实现转诊信息的互通，实现成员单位间之间患者双向转诊；支持整合转诊患者基本信息、生命体征、检查、检验等信息，支持转诊机构、科室、人员和账户信息，及转诊权限等管理。</w:t>
            </w:r>
          </w:p>
          <w:p w14:paraId="00E11594">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根据患者情况及分类，实现基层卫生医疗机构分流患者及信息到总院预约住院、预约门诊、急诊转诊、预约检查、远程咨询、远程会诊，以及总院患者（下转）转诊到分院或合作医院等功能。实现管理员后台操作管理，数据查询、采集、统计、汇总，按人员分类授权管理等。</w:t>
            </w:r>
          </w:p>
          <w:p w14:paraId="4B28D654">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1.1患者管理</w:t>
            </w:r>
          </w:p>
          <w:p w14:paraId="691419B9">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1.1.1上转预约</w:t>
            </w:r>
          </w:p>
          <w:p w14:paraId="28B45E6C">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上转转诊患者列表，可查看患者信息，如患者姓名、性别、年龄、家庭住址、联系电话，主要既往史、现病史、治疗经过、初步诊断等，转诊医生、转诊医生联系电话、转出医院名称，预约转诊方式（门诊/住院/急诊/会诊/咨询//检查），预约科室或专业、预约时间等。电脑端直接可导入HIS系统中检查、检验结果等，手机端可拍照上传相关图片资料。</w:t>
            </w:r>
          </w:p>
          <w:p w14:paraId="5361FF52">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1.1.2下转预约</w:t>
            </w:r>
          </w:p>
          <w:p w14:paraId="57A56CDC">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下转转诊患者列表，可查看患者信息，如患者姓名、性别、年龄、家庭住址、联系电话，主要检查结果、诊断结果、治疗经过、下一步治疗方案、药学服务建议及康复建议等，转诊医生、转诊医生联系电话、转出医院名称，预约转诊方式（门诊/住院），预约科室或专业、预约时间等。电脑端直接可导入HIS系统中检查、检验结果等，手机端可拍照上传相关图片资料。</w:t>
            </w:r>
          </w:p>
          <w:p w14:paraId="2FE00DA9">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1.1.3远程会诊</w:t>
            </w:r>
          </w:p>
          <w:p w14:paraId="22DA32D7">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在基层卫生医疗机构住院的患者，需要申请上级医院的专家会诊，可直接在系统里申请（患者信息同上转预约列表），相关职能科室并进行会诊审批。</w:t>
            </w:r>
          </w:p>
          <w:p w14:paraId="5DD37677">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设置会诊提醒</w:t>
            </w:r>
          </w:p>
          <w:p w14:paraId="4B707DAA">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可根据会诊信息自动生成不同的会诊意见文本，并可由医师在自动生成的会诊意见下进行修改调整。</w:t>
            </w:r>
          </w:p>
          <w:p w14:paraId="51CFB394">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1.1.4远程咨询</w:t>
            </w:r>
          </w:p>
          <w:p w14:paraId="0C3960E0">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在基层卫生医疗机构住院的患者，基层医生需要申请上级医院的专家咨询，可直接在系统里申请（患者信息同上转预约列表），相关科室人员直接点对点咨询。</w:t>
            </w:r>
          </w:p>
          <w:p w14:paraId="4195F4C3">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设置咨询申请提醒</w:t>
            </w:r>
          </w:p>
          <w:p w14:paraId="5C3E9481">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可根据咨询信息自动生成不同的咨询意见文本，并可由总院医师在自动生成的咨询意见下进行修改调整。</w:t>
            </w:r>
          </w:p>
          <w:p w14:paraId="6482A70A">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1.1.5远程检查</w:t>
            </w:r>
          </w:p>
          <w:p w14:paraId="44BAB0AB">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基层卫生医疗机构患者需要到上级医院做进一步检查</w:t>
            </w:r>
          </w:p>
          <w:p w14:paraId="6E858409">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基层卫生医疗机构医生能够在系统中帮助患者预约相应的检查，如：超声检查、放射科相关检查、检验科、病理科等相关医技科室的检查，且优先。</w:t>
            </w:r>
          </w:p>
          <w:p w14:paraId="20C5E7E2">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检查结果领取：患者可以在检查机构和住院机构等多个地方获取。</w:t>
            </w:r>
          </w:p>
          <w:p w14:paraId="35D54A63">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1.2后台管理</w:t>
            </w:r>
          </w:p>
          <w:p w14:paraId="5CE8FA06">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1.2.1总院管理者权限</w:t>
            </w:r>
          </w:p>
          <w:p w14:paraId="3E6FD25D">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能够在系统中随时提取任何一个时段动态的患者就诊转诊情况、汇总信息、随时查看某一患者的就诊（转诊患者）流程、及环节控制。授权本院医生、分诊岗人员账号管理、使用权限管理等。授权基层医院账号、基层医院管理者权限等。</w:t>
            </w:r>
          </w:p>
          <w:p w14:paraId="39E2DADF">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1.2.2总院分诊岗权限</w:t>
            </w:r>
          </w:p>
          <w:p w14:paraId="175BB12D">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医疗机构间的转诊患者，在系统内转诊的，实现自动免挂号，优先就诊。只需要在导分诊台（包括门诊、急诊、住院）报到就诊，根据导医指引直接到专科诊室。</w:t>
            </w:r>
          </w:p>
          <w:p w14:paraId="32056F7B">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1.2.3基层医院管理者权限</w:t>
            </w:r>
          </w:p>
          <w:p w14:paraId="3FFD66F6">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能够在系统中随时提取任何一个时段动态的患者就诊转诊情况、汇总信息、随时查看某一患者的就诊（转诊患者）流程、及环节控制。授权本院医生、分诊岗人员账号管理、使用权限管理等。</w:t>
            </w:r>
          </w:p>
          <w:p w14:paraId="6FBB6AA8">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1.3患者信息保护</w:t>
            </w:r>
          </w:p>
          <w:p w14:paraId="174D0292">
            <w:pPr>
              <w:pStyle w:val="3"/>
              <w:numPr>
                <w:ilvl w:val="1"/>
                <w:numId w:val="0"/>
              </w:numPr>
              <w:spacing w:line="276" w:lineRule="auto"/>
              <w:ind w:leftChars="0"/>
              <w:rPr>
                <w:rFonts w:hint="eastAsia"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1.3.1设置管理权限，保护患者隐私。杜绝信息泄露。</w:t>
            </w:r>
          </w:p>
          <w:p w14:paraId="573EC011">
            <w:pPr>
              <w:pStyle w:val="3"/>
              <w:numPr>
                <w:ilvl w:val="1"/>
                <w:numId w:val="0"/>
              </w:numPr>
              <w:spacing w:line="276" w:lineRule="auto"/>
              <w:ind w:leftChars="0"/>
              <w:rPr>
                <w:rFonts w:hint="default" w:ascii="Calibri" w:hAnsi="Calibri" w:eastAsia="方正仿宋_GBK" w:cs="Times New Roman"/>
                <w:b w:val="0"/>
                <w:bCs w:val="0"/>
                <w:spacing w:val="-3"/>
                <w:kern w:val="0"/>
                <w:sz w:val="21"/>
                <w:szCs w:val="24"/>
                <w:lang w:val="en-US" w:eastAsia="zh-CN" w:bidi="ar-SA"/>
              </w:rPr>
            </w:pPr>
            <w:r>
              <w:rPr>
                <w:rFonts w:hint="eastAsia" w:ascii="Calibri" w:hAnsi="Calibri" w:eastAsia="方正仿宋_GBK" w:cs="Times New Roman"/>
                <w:b w:val="0"/>
                <w:bCs w:val="0"/>
                <w:spacing w:val="-3"/>
                <w:kern w:val="0"/>
                <w:sz w:val="21"/>
                <w:szCs w:val="24"/>
                <w:lang w:val="en-US" w:eastAsia="zh-CN" w:bidi="ar-SA"/>
              </w:rPr>
              <w:t>1.3.2患者通过扫码或关注公众号等技术方式，可以查看本人的预约信息。</w:t>
            </w:r>
          </w:p>
          <w:p w14:paraId="1CFEE325">
            <w:pPr>
              <w:pStyle w:val="2"/>
              <w:keepNext w:val="0"/>
              <w:keepLines w:val="0"/>
              <w:pageBreakBefore w:val="0"/>
              <w:kinsoku/>
              <w:wordWrap/>
              <w:overflowPunct/>
              <w:topLinePunct w:val="0"/>
              <w:autoSpaceDE/>
              <w:autoSpaceDN/>
              <w:bidi w:val="0"/>
              <w:adjustRightInd/>
              <w:spacing w:line="240" w:lineRule="auto"/>
              <w:jc w:val="left"/>
              <w:textAlignment w:val="auto"/>
              <w:rPr>
                <w:rFonts w:hint="default" w:ascii="方正仿宋_GBK" w:eastAsia="方正仿宋_GBK"/>
                <w:sz w:val="32"/>
                <w:szCs w:val="32"/>
                <w:lang w:val="en-US" w:eastAsia="zh-CN"/>
              </w:rPr>
            </w:pPr>
          </w:p>
        </w:tc>
      </w:tr>
    </w:tbl>
    <w:p w14:paraId="50C9225B">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F61F63A">
      <w:pPr>
        <w:spacing w:line="560" w:lineRule="exact"/>
        <w:rPr>
          <w:rFonts w:hint="eastAsia" w:ascii="方正仿宋_GBK" w:hAnsi="方正仿宋_GBK" w:eastAsia="方正仿宋_GBK" w:cs="方正仿宋_GBK"/>
          <w:sz w:val="32"/>
          <w:szCs w:val="32"/>
        </w:rPr>
      </w:pPr>
      <w:r>
        <w:rPr>
          <w:rFonts w:hint="eastAsia" w:ascii="黑体" w:hAnsi="黑体" w:eastAsia="黑体" w:cs="黑体"/>
          <w:sz w:val="32"/>
          <w:szCs w:val="32"/>
        </w:rPr>
        <w:t xml:space="preserve">  二、填写资料及要求。</w:t>
      </w:r>
      <w:r>
        <w:rPr>
          <w:rFonts w:hint="eastAsia" w:ascii="方正仿宋_GBK" w:hAnsi="方正仿宋_GBK" w:eastAsia="方正仿宋_GBK" w:cs="方正仿宋_GBK"/>
          <w:sz w:val="32"/>
          <w:szCs w:val="32"/>
        </w:rPr>
        <w:t>按格式要求填写《重庆市荣昌区人民医院信息化建设推介资料》（见附件2），需提供纸质件（双面打印加盖公章），信息化建设推介产品参数表需提供纸质件及电子版（word版）。推荐的每样资料放在单独文件夹，文件夹命名按照附件1对应编辑，如：“软件名称”。</w:t>
      </w:r>
    </w:p>
    <w:p w14:paraId="18F8649C">
      <w:pPr>
        <w:spacing w:line="56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cs="黑体"/>
          <w:sz w:val="32"/>
          <w:szCs w:val="32"/>
        </w:rPr>
        <w:t>三、厂商资质要求</w:t>
      </w:r>
      <w:r>
        <w:rPr>
          <w:rFonts w:hint="eastAsia" w:ascii="方正仿宋_GBK" w:hAnsi="方正仿宋_GBK" w:eastAsia="方正仿宋_GBK" w:cs="方正仿宋_GBK"/>
          <w:sz w:val="32"/>
          <w:szCs w:val="32"/>
        </w:rPr>
        <w:t xml:space="preserve"> </w:t>
      </w:r>
    </w:p>
    <w:p w14:paraId="528783C0">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（一）参照《中华人民共和国政府采购法》第二十二条规定；</w:t>
      </w:r>
    </w:p>
    <w:p w14:paraId="0BC0C32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四、资料递交形式及推介会安排</w:t>
      </w:r>
    </w:p>
    <w:p w14:paraId="3DA1C88F">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1.报名方式：纸质件现场递交或邮寄，邮寄地址：重庆市荣昌区人民医院外科楼二楼信息科2；联系人：黄老师（18375935345），电子版提前发送至邮箱102206576@qq.com，电子版邮件命名方式为：软件名称+公司名称。</w:t>
      </w:r>
    </w:p>
    <w:p w14:paraId="7F47D321">
      <w:pPr>
        <w:spacing w:line="560" w:lineRule="exact"/>
        <w:ind w:firstLine="640" w:firstLineChars="200"/>
        <w:rPr>
          <w:rFonts w:hint="eastAsia" w:ascii="黑体" w:hAnsi="黑体" w:eastAsia="黑体" w:cs="黑体"/>
          <w:sz w:val="32"/>
          <w:szCs w:val="32"/>
        </w:rPr>
      </w:pPr>
      <w:r>
        <w:rPr>
          <w:rFonts w:hint="eastAsia" w:ascii="方正仿宋_GBK" w:hAnsi="方正仿宋_GBK" w:eastAsia="方正仿宋_GBK" w:cs="方正仿宋_GBK"/>
          <w:sz w:val="32"/>
          <w:szCs w:val="32"/>
        </w:rPr>
        <w:t>2.报名起止时间：公告发布之日起至202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highlight w:val="yellow"/>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日17：30。</w:t>
      </w:r>
    </w:p>
    <w:p w14:paraId="63280100">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3.推介会时间、地点：待定，由院方根据报名情况电话通知。</w:t>
      </w:r>
    </w:p>
    <w:p w14:paraId="1231FE4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4.推介会要求：各厂商自行准备推介产品PPT或者产品方案等，5分钟时间对产品进行介绍，5分钟时间回答院方提问。</w:t>
      </w:r>
    </w:p>
    <w:p w14:paraId="16B0BCCC">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5.联系电话：023-46331798 </w:t>
      </w:r>
    </w:p>
    <w:p w14:paraId="013F508D">
      <w:pPr>
        <w:spacing w:line="560" w:lineRule="exact"/>
        <w:rPr>
          <w:rFonts w:hint="eastAsia" w:ascii="方正仿宋_GBK" w:hAnsi="方正仿宋_GBK" w:eastAsia="方正仿宋_GBK" w:cs="方正仿宋_GBK"/>
          <w:sz w:val="32"/>
          <w:szCs w:val="32"/>
        </w:rPr>
      </w:pPr>
    </w:p>
    <w:p w14:paraId="4418168E">
      <w:pPr>
        <w:spacing w:line="560" w:lineRule="exact"/>
        <w:rPr>
          <w:rFonts w:hint="eastAsia" w:ascii="方正仿宋_GBK" w:hAnsi="方正仿宋_GBK" w:eastAsia="方正仿宋_GBK" w:cs="方正仿宋_GBK"/>
          <w:sz w:val="32"/>
          <w:szCs w:val="32"/>
        </w:rPr>
      </w:pPr>
      <w:bookmarkStart w:id="1" w:name="_GoBack"/>
      <w:bookmarkEnd w:id="1"/>
    </w:p>
    <w:p w14:paraId="002F40AF">
      <w:pPr>
        <w:pStyle w:val="2"/>
        <w:rPr>
          <w:rFonts w:hint="eastAsia"/>
        </w:rPr>
      </w:pPr>
    </w:p>
    <w:p w14:paraId="1298B628">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重庆市荣昌区人民医院       </w:t>
      </w:r>
    </w:p>
    <w:p w14:paraId="0BC84DC8">
      <w:pPr>
        <w:spacing w:line="560" w:lineRule="exact"/>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highlight w:val="yellow"/>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highlight w:val="yellow"/>
          <w:lang w:val="en-US" w:eastAsia="zh-CN"/>
        </w:rPr>
        <w:t>08</w:t>
      </w:r>
      <w:r>
        <w:rPr>
          <w:rFonts w:hint="eastAsia" w:ascii="方正仿宋_GBK" w:hAnsi="方正仿宋_GBK" w:eastAsia="方正仿宋_GBK" w:cs="方正仿宋_GBK"/>
          <w:sz w:val="32"/>
          <w:szCs w:val="32"/>
        </w:rPr>
        <w:t>日</w:t>
      </w:r>
    </w:p>
    <w:p w14:paraId="6F870E2D">
      <w:pPr>
        <w:widowControl/>
        <w:jc w:val="left"/>
        <w:rPr>
          <w:rFonts w:hint="eastAsia" w:ascii="宋体" w:hAnsi="宋体" w:cs="宋体"/>
          <w:color w:val="004784"/>
          <w:kern w:val="0"/>
          <w:sz w:val="24"/>
          <w:lang w:bidi="ar"/>
        </w:rPr>
      </w:pPr>
      <w:r>
        <w:rPr>
          <w:rFonts w:hint="eastAsia" w:ascii="宋体" w:hAnsi="宋体" w:cs="宋体"/>
          <w:color w:val="004784"/>
          <w:kern w:val="0"/>
          <w:sz w:val="24"/>
          <w:lang w:bidi="ar"/>
        </w:rPr>
        <w:t xml:space="preserve"> </w:t>
      </w:r>
    </w:p>
    <w:p w14:paraId="2593C4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0667F0-A72C-43F0-A2EF-1C63940966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C15A50-5531-4AB9-9AF9-27E9D79971D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79BE7D0-A10A-4ED4-865B-1C69A6EE7069}"/>
  </w:font>
  <w:font w:name="方正仿宋_GBK">
    <w:panose1 w:val="03000509000000000000"/>
    <w:charset w:val="86"/>
    <w:family w:val="script"/>
    <w:pitch w:val="default"/>
    <w:sig w:usb0="00000001" w:usb1="080E0000" w:usb2="00000000" w:usb3="00000000" w:csb0="00040000" w:csb1="00000000"/>
    <w:embedRegular r:id="rId4" w:fontKey="{64F4B710-D6F1-43B8-AEFA-E383A7F107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ECEA5"/>
    <w:multiLevelType w:val="multilevel"/>
    <w:tmpl w:val="5B9ECEA5"/>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A0OTRhM2VhMDQ4ODI1MTRmYjEzODRmOTA0ZWUifQ=="/>
  </w:docVars>
  <w:rsids>
    <w:rsidRoot w:val="00000000"/>
    <w:rsid w:val="00D074CA"/>
    <w:rsid w:val="058F34B0"/>
    <w:rsid w:val="064A387B"/>
    <w:rsid w:val="093323A4"/>
    <w:rsid w:val="14955A2D"/>
    <w:rsid w:val="21B57D5A"/>
    <w:rsid w:val="229F0F36"/>
    <w:rsid w:val="2B6C5576"/>
    <w:rsid w:val="3B624056"/>
    <w:rsid w:val="426D1988"/>
    <w:rsid w:val="48773345"/>
    <w:rsid w:val="4D9A30B5"/>
    <w:rsid w:val="5A3612C1"/>
    <w:rsid w:val="610E220A"/>
    <w:rsid w:val="61EE40B9"/>
    <w:rsid w:val="635E04BD"/>
    <w:rsid w:val="648F1CFA"/>
    <w:rsid w:val="656801D6"/>
    <w:rsid w:val="67061ADF"/>
    <w:rsid w:val="68037990"/>
    <w:rsid w:val="7379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numPr>
        <w:ilvl w:val="1"/>
        <w:numId w:val="1"/>
      </w:numPr>
      <w:tabs>
        <w:tab w:val="left" w:pos="567"/>
      </w:tabs>
      <w:adjustRightInd w:val="0"/>
      <w:spacing w:before="180" w:after="60" w:line="400" w:lineRule="atLeast"/>
      <w:textAlignment w:val="baseline"/>
      <w:outlineLvl w:val="1"/>
    </w:pPr>
    <w:rPr>
      <w:rFonts w:ascii="Cambria" w:hAnsi="Cambria" w:eastAsia="仿宋" w:cs="Cambria"/>
      <w:b/>
      <w:bCs/>
      <w:kern w:val="0"/>
      <w:sz w:val="24"/>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napToGrid w:val="0"/>
      <w:spacing w:line="560" w:lineRule="atLeast"/>
      <w:ind w:firstLine="540"/>
    </w:pPr>
    <w:rPr>
      <w:rFonts w:ascii="Times New Roman" w:hAnsi="Times New Roman" w:eastAsia="宋体" w:cs="Times New Roman"/>
    </w:rPr>
  </w:style>
  <w:style w:type="paragraph" w:customStyle="1" w:styleId="6">
    <w:name w:val="Style1"/>
    <w:basedOn w:val="1"/>
    <w:qFormat/>
    <w:uiPriority w:val="0"/>
    <w:pPr>
      <w:widowControl/>
      <w:tabs>
        <w:tab w:val="left" w:pos="-720"/>
      </w:tabs>
      <w:spacing w:after="120"/>
    </w:pPr>
    <w:rPr>
      <w:spacing w:val="-3"/>
      <w:kern w:val="0"/>
      <w:lang w:val="en-AU" w:eastAsia="en-US"/>
    </w:rPr>
  </w:style>
  <w:style w:type="paragraph" w:customStyle="1" w:styleId="7">
    <w:name w:val="列出段落5"/>
    <w:basedOn w:val="1"/>
    <w:qFormat/>
    <w:uiPriority w:val="34"/>
    <w:pPr>
      <w:adjustRightInd w:val="0"/>
      <w:spacing w:line="360" w:lineRule="atLeast"/>
      <w:ind w:firstLine="420" w:firstLineChars="200"/>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1894</Words>
  <Characters>2010</Characters>
  <Lines>0</Lines>
  <Paragraphs>0</Paragraphs>
  <TotalTime>7</TotalTime>
  <ScaleCrop>false</ScaleCrop>
  <LinksUpToDate>false</LinksUpToDate>
  <CharactersWithSpaces>2048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2024-09-19T08:08:00Z</dcterms:created>
  <dc:creator>Administrator</dc:creator>
  <cp:lastModifiedBy>米猪</cp:lastModifiedBy>
  <dcterms:modified xsi:type="dcterms:W3CDTF">2024-10-08T09:16:27Z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9F2F791BE4C94EBE912C8267B836B0C1_13</vt:lpwstr>
  </property>
</Properties>
</file>