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Cs w:val="21"/>
          <w:highlight w:val="none"/>
        </w:rPr>
      </w:pPr>
    </w:p>
    <w:p>
      <w:pPr>
        <w:pStyle w:val="2"/>
        <w:spacing w:line="600" w:lineRule="exact"/>
        <w:ind w:left="361" w:leftChars="172" w:right="-666" w:rightChars="-317"/>
        <w:jc w:val="left"/>
        <w:rPr>
          <w:rFonts w:hint="eastAsia" w:ascii="宋体" w:hAnsi="宋体"/>
          <w:color w:val="auto"/>
          <w:kern w:val="10"/>
          <w:sz w:val="32"/>
          <w:szCs w:val="32"/>
          <w:highlight w:val="none"/>
        </w:rPr>
      </w:pPr>
    </w:p>
    <w:p>
      <w:pPr>
        <w:pStyle w:val="2"/>
        <w:spacing w:line="600" w:lineRule="exact"/>
        <w:ind w:left="361" w:leftChars="172" w:right="-666" w:rightChars="-317"/>
        <w:jc w:val="left"/>
        <w:rPr>
          <w:rFonts w:hint="eastAsia" w:ascii="宋体" w:hAnsi="宋体" w:eastAsia="宋体"/>
          <w:color w:val="auto"/>
          <w:kern w:val="10"/>
          <w:sz w:val="32"/>
          <w:szCs w:val="32"/>
          <w:highlight w:val="none"/>
          <w:lang w:eastAsia="zh-CN"/>
        </w:rPr>
      </w:pPr>
      <w:r>
        <w:rPr>
          <w:rFonts w:hint="eastAsia" w:ascii="宋体" w:hAnsi="宋体"/>
          <w:color w:val="auto"/>
          <w:kern w:val="10"/>
          <w:sz w:val="32"/>
          <w:szCs w:val="32"/>
          <w:highlight w:val="none"/>
        </w:rPr>
        <w:t>工程名称：</w:t>
      </w:r>
      <w:r>
        <w:rPr>
          <w:rFonts w:hint="eastAsia" w:ascii="宋体" w:hAnsi="宋体"/>
          <w:color w:val="auto"/>
          <w:kern w:val="10"/>
          <w:sz w:val="32"/>
          <w:szCs w:val="32"/>
          <w:highlight w:val="none"/>
          <w:lang w:eastAsia="zh-CN"/>
        </w:rPr>
        <w:t>荣昌区人民医院内科</w:t>
      </w:r>
      <w:r>
        <w:rPr>
          <w:rFonts w:hint="eastAsia" w:ascii="宋体" w:hAnsi="宋体"/>
          <w:color w:val="auto"/>
          <w:kern w:val="10"/>
          <w:sz w:val="32"/>
          <w:szCs w:val="32"/>
          <w:highlight w:val="none"/>
          <w:lang w:val="en-US" w:eastAsia="zh-CN"/>
        </w:rPr>
        <w:t>7楼静脉输液配置中心改造</w:t>
      </w:r>
      <w:r>
        <w:rPr>
          <w:rFonts w:hint="eastAsia" w:ascii="宋体" w:hAnsi="宋体"/>
          <w:color w:val="auto"/>
          <w:kern w:val="10"/>
          <w:sz w:val="32"/>
          <w:szCs w:val="32"/>
          <w:highlight w:val="none"/>
          <w:lang w:eastAsia="zh-CN"/>
        </w:rPr>
        <w:t>项目</w:t>
      </w:r>
    </w:p>
    <w:p>
      <w:pPr>
        <w:tabs>
          <w:tab w:val="left" w:pos="7320"/>
        </w:tabs>
        <w:spacing w:line="400" w:lineRule="exact"/>
        <w:ind w:right="-382" w:rightChars="-182" w:firstLine="960" w:firstLineChars="300"/>
        <w:rPr>
          <w:rFonts w:hint="eastAsia" w:ascii="宋体" w:hAnsi="宋体"/>
          <w:b/>
          <w:color w:val="auto"/>
          <w:spacing w:val="60"/>
          <w:sz w:val="28"/>
          <w:szCs w:val="28"/>
          <w:highlight w:val="none"/>
        </w:rPr>
      </w:pPr>
      <w:r>
        <w:rPr>
          <w:rFonts w:hint="eastAsia" w:ascii="宋体" w:hAnsi="宋体"/>
          <w:color w:val="auto"/>
          <w:kern w:val="10"/>
          <w:sz w:val="32"/>
          <w:szCs w:val="32"/>
          <w:highlight w:val="none"/>
          <w:lang w:val="en-US" w:eastAsia="zh-CN"/>
        </w:rPr>
        <w:t xml:space="preserve"> </w:t>
      </w:r>
      <w:r>
        <w:rPr>
          <w:rFonts w:hint="eastAsia" w:ascii="宋体" w:hAnsi="宋体"/>
          <w:b/>
          <w:color w:val="auto"/>
          <w:spacing w:val="60"/>
          <w:sz w:val="28"/>
          <w:szCs w:val="28"/>
          <w:highlight w:val="none"/>
        </w:rPr>
        <w:tab/>
      </w:r>
    </w:p>
    <w:p>
      <w:pPr>
        <w:spacing w:line="400" w:lineRule="exact"/>
        <w:ind w:firstLine="1203" w:firstLineChars="300"/>
        <w:rPr>
          <w:rFonts w:hint="eastAsia" w:ascii="宋体" w:hAnsi="宋体"/>
          <w:b/>
          <w:color w:val="auto"/>
          <w:spacing w:val="60"/>
          <w:sz w:val="28"/>
          <w:szCs w:val="28"/>
          <w:highlight w:val="none"/>
        </w:rPr>
      </w:pPr>
    </w:p>
    <w:p>
      <w:pPr>
        <w:spacing w:line="360" w:lineRule="auto"/>
        <w:jc w:val="center"/>
        <w:rPr>
          <w:rFonts w:hint="eastAsia" w:ascii="宋体" w:hAnsi="宋体"/>
          <w:b/>
          <w:color w:val="auto"/>
          <w:spacing w:val="60"/>
          <w:sz w:val="84"/>
          <w:szCs w:val="84"/>
          <w:highlight w:val="none"/>
        </w:rPr>
      </w:pPr>
    </w:p>
    <w:p>
      <w:pPr>
        <w:spacing w:line="360" w:lineRule="auto"/>
        <w:jc w:val="both"/>
        <w:rPr>
          <w:rFonts w:hint="eastAsia" w:ascii="宋体" w:hAnsi="宋体"/>
          <w:b/>
          <w:color w:val="auto"/>
          <w:spacing w:val="60"/>
          <w:sz w:val="84"/>
          <w:szCs w:val="84"/>
          <w:highlight w:val="none"/>
        </w:rPr>
      </w:pPr>
    </w:p>
    <w:p>
      <w:pPr>
        <w:spacing w:line="360" w:lineRule="auto"/>
        <w:jc w:val="center"/>
        <w:rPr>
          <w:rFonts w:hint="eastAsia" w:ascii="宋体" w:hAnsi="宋体"/>
          <w:b/>
          <w:color w:val="auto"/>
          <w:spacing w:val="60"/>
          <w:sz w:val="84"/>
          <w:szCs w:val="84"/>
          <w:highlight w:val="none"/>
        </w:rPr>
      </w:pPr>
      <w:r>
        <w:rPr>
          <w:rFonts w:hint="eastAsia" w:ascii="宋体" w:hAnsi="宋体"/>
          <w:b/>
          <w:color w:val="auto"/>
          <w:spacing w:val="60"/>
          <w:sz w:val="84"/>
          <w:szCs w:val="84"/>
          <w:highlight w:val="none"/>
        </w:rPr>
        <w:t>竞争性比选文件</w:t>
      </w:r>
    </w:p>
    <w:p>
      <w:pPr>
        <w:pStyle w:val="4"/>
        <w:rPr>
          <w:rFonts w:hint="eastAsia" w:ascii="宋体" w:hAnsi="宋体" w:eastAsia="宋体" w:cs="宋体"/>
          <w:color w:val="auto"/>
          <w:highlight w:val="none"/>
        </w:rPr>
      </w:pPr>
    </w:p>
    <w:p>
      <w:pPr>
        <w:jc w:val="center"/>
        <w:rPr>
          <w:rFonts w:hint="eastAsia" w:ascii="宋体" w:hAnsi="宋体" w:eastAsia="宋体" w:cs="宋体"/>
          <w:b/>
          <w:color w:val="auto"/>
          <w:sz w:val="28"/>
          <w:szCs w:val="28"/>
          <w:highlight w:val="none"/>
        </w:rPr>
      </w:pPr>
    </w:p>
    <w:p>
      <w:pPr>
        <w:jc w:val="right"/>
        <w:rPr>
          <w:rFonts w:hint="eastAsia" w:ascii="宋体" w:hAnsi="宋体" w:eastAsia="宋体" w:cs="宋体"/>
          <w:b/>
          <w:color w:val="auto"/>
          <w:sz w:val="28"/>
          <w:szCs w:val="28"/>
          <w:highlight w:val="none"/>
        </w:rPr>
      </w:pPr>
    </w:p>
    <w:p>
      <w:pPr>
        <w:jc w:val="right"/>
        <w:rPr>
          <w:rFonts w:hint="eastAsia" w:ascii="宋体" w:hAnsi="宋体" w:eastAsia="宋体" w:cs="宋体"/>
          <w:b/>
          <w:color w:val="auto"/>
          <w:sz w:val="28"/>
          <w:szCs w:val="28"/>
          <w:highlight w:val="none"/>
        </w:rPr>
      </w:pPr>
    </w:p>
    <w:p>
      <w:pPr>
        <w:jc w:val="cente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采购人：重庆市荣昌区人民医院</w:t>
      </w:r>
    </w:p>
    <w:p>
      <w:pPr>
        <w:spacing w:line="600" w:lineRule="exact"/>
        <w:jc w:val="center"/>
        <w:rPr>
          <w:rFonts w:hint="eastAsia" w:ascii="宋体" w:hAnsi="宋体" w:eastAsia="宋体" w:cs="宋体"/>
          <w:b/>
          <w:color w:val="auto"/>
          <w:sz w:val="36"/>
          <w:szCs w:val="36"/>
          <w:highlight w:val="none"/>
        </w:rPr>
      </w:pPr>
      <w:bookmarkStart w:id="0" w:name="year1"/>
      <w:r>
        <w:rPr>
          <w:rFonts w:hint="eastAsia" w:ascii="宋体" w:hAnsi="宋体" w:eastAsia="宋体" w:cs="宋体"/>
          <w:b/>
          <w:color w:val="auto"/>
          <w:sz w:val="36"/>
          <w:szCs w:val="36"/>
          <w:highlight w:val="none"/>
        </w:rPr>
        <w:t>20</w:t>
      </w:r>
      <w:bookmarkEnd w:id="0"/>
      <w:r>
        <w:rPr>
          <w:rFonts w:hint="eastAsia" w:ascii="宋体" w:hAnsi="宋体" w:eastAsia="宋体" w:cs="宋体"/>
          <w:b/>
          <w:color w:val="auto"/>
          <w:sz w:val="36"/>
          <w:szCs w:val="36"/>
          <w:highlight w:val="none"/>
        </w:rPr>
        <w:t>2</w:t>
      </w:r>
      <w:r>
        <w:rPr>
          <w:rFonts w:hint="eastAsia" w:ascii="宋体" w:hAnsi="宋体" w:eastAsia="宋体" w:cs="宋体"/>
          <w:b/>
          <w:color w:val="auto"/>
          <w:sz w:val="36"/>
          <w:szCs w:val="36"/>
          <w:highlight w:val="none"/>
          <w:lang w:val="en-US" w:eastAsia="zh-CN"/>
        </w:rPr>
        <w:t>3</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val="en-US" w:eastAsia="zh-CN"/>
        </w:rPr>
        <w:t>9</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月</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val="en-US" w:eastAsia="zh-CN"/>
        </w:rPr>
        <w:t>10</w:t>
      </w:r>
      <w:r>
        <w:rPr>
          <w:rFonts w:hint="eastAsia" w:ascii="宋体" w:hAnsi="宋体" w:eastAsia="宋体" w:cs="宋体"/>
          <w:b/>
          <w:color w:val="auto"/>
          <w:sz w:val="36"/>
          <w:szCs w:val="36"/>
          <w:highlight w:val="none"/>
        </w:rPr>
        <w:t xml:space="preserve"> 日</w:t>
      </w:r>
    </w:p>
    <w:p>
      <w:pPr>
        <w:adjustRightInd w:val="0"/>
        <w:snapToGrid w:val="0"/>
        <w:spacing w:line="480" w:lineRule="auto"/>
        <w:jc w:val="center"/>
        <w:rPr>
          <w:rFonts w:hint="eastAsia" w:ascii="宋体" w:hAnsi="宋体" w:eastAsia="宋体" w:cs="宋体"/>
          <w:b/>
          <w:bCs/>
          <w:color w:val="auto"/>
          <w:sz w:val="72"/>
          <w:highlight w:val="none"/>
        </w:rPr>
      </w:pPr>
      <w:r>
        <w:rPr>
          <w:rFonts w:hint="eastAsia" w:ascii="宋体" w:hAnsi="宋体" w:eastAsia="宋体" w:cs="宋体"/>
          <w:b/>
          <w:bCs/>
          <w:color w:val="auto"/>
          <w:sz w:val="72"/>
          <w:highlight w:val="none"/>
        </w:rPr>
        <w:br w:type="page"/>
      </w:r>
      <w:r>
        <w:rPr>
          <w:rFonts w:hint="eastAsia" w:ascii="宋体" w:hAnsi="宋体" w:eastAsia="宋体" w:cs="宋体"/>
          <w:b/>
          <w:bCs/>
          <w:color w:val="auto"/>
          <w:sz w:val="72"/>
          <w:highlight w:val="none"/>
        </w:rPr>
        <w:t>目     录</w:t>
      </w:r>
    </w:p>
    <w:p>
      <w:pPr>
        <w:pStyle w:val="24"/>
        <w:tabs>
          <w:tab w:val="right" w:leader="dot" w:pos="8988"/>
        </w:tabs>
        <w:spacing w:line="360" w:lineRule="auto"/>
        <w:rPr>
          <w:rFonts w:hint="eastAsia" w:ascii="宋体" w:hAnsi="宋体" w:eastAsia="宋体" w:cs="宋体"/>
          <w:color w:val="auto"/>
          <w:kern w:val="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"1-1" \h \z \u </w:instrText>
      </w:r>
      <w:r>
        <w:rPr>
          <w:rFonts w:hint="eastAsia" w:ascii="宋体" w:hAnsi="宋体" w:eastAsia="宋体" w:cs="宋体"/>
          <w:color w:val="auto"/>
          <w:highlight w:val="none"/>
        </w:rPr>
        <w:fldChar w:fldCharType="separate"/>
      </w:r>
    </w:p>
    <w:p>
      <w:pPr>
        <w:pStyle w:val="24"/>
        <w:tabs>
          <w:tab w:val="right" w:leader="dot" w:pos="8988"/>
        </w:tabs>
        <w:spacing w:line="360" w:lineRule="auto"/>
        <w:rPr>
          <w:rFonts w:hint="eastAsia" w:ascii="宋体" w:hAnsi="宋体" w:eastAsia="宋体" w:cs="宋体"/>
          <w:color w:val="auto"/>
          <w:kern w:val="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"_Toc10725991" </w:instrText>
      </w:r>
      <w:r>
        <w:rPr>
          <w:rFonts w:hint="eastAsia" w:ascii="宋体" w:hAnsi="宋体" w:eastAsia="宋体" w:cs="宋体"/>
          <w:color w:val="auto"/>
          <w:highlight w:val="none"/>
        </w:rPr>
        <w:fldChar w:fldCharType="separate"/>
      </w:r>
      <w:r>
        <w:rPr>
          <w:rStyle w:val="46"/>
          <w:rFonts w:hint="eastAsia" w:ascii="宋体" w:hAnsi="宋体" w:eastAsia="宋体" w:cs="宋体"/>
          <w:color w:val="auto"/>
          <w:sz w:val="36"/>
          <w:highlight w:val="none"/>
        </w:rPr>
        <w:t>第一部分招标公告</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_Toc10725991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24"/>
        <w:tabs>
          <w:tab w:val="right" w:leader="dot" w:pos="8988"/>
        </w:tabs>
        <w:spacing w:line="360" w:lineRule="auto"/>
        <w:rPr>
          <w:rFonts w:hint="eastAsia" w:ascii="宋体" w:hAnsi="宋体" w:eastAsia="宋体" w:cs="宋体"/>
          <w:color w:val="auto"/>
          <w:kern w:val="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"_Toc10725992" </w:instrText>
      </w:r>
      <w:r>
        <w:rPr>
          <w:rFonts w:hint="eastAsia" w:ascii="宋体" w:hAnsi="宋体" w:eastAsia="宋体" w:cs="宋体"/>
          <w:color w:val="auto"/>
          <w:highlight w:val="none"/>
        </w:rPr>
        <w:fldChar w:fldCharType="separate"/>
      </w:r>
      <w:r>
        <w:rPr>
          <w:rStyle w:val="46"/>
          <w:rFonts w:hint="eastAsia" w:ascii="宋体" w:hAnsi="宋体" w:eastAsia="宋体" w:cs="宋体"/>
          <w:color w:val="auto"/>
          <w:sz w:val="36"/>
          <w:highlight w:val="none"/>
        </w:rPr>
        <w:t>第二部分投标人须知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_Toc10725992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24"/>
        <w:tabs>
          <w:tab w:val="right" w:leader="dot" w:pos="8988"/>
        </w:tabs>
        <w:spacing w:line="360" w:lineRule="auto"/>
        <w:rPr>
          <w:rFonts w:hint="eastAsia" w:ascii="宋体" w:hAnsi="宋体" w:eastAsia="宋体" w:cs="宋体"/>
          <w:color w:val="auto"/>
          <w:kern w:val="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"_Toc10725993" </w:instrText>
      </w:r>
      <w:r>
        <w:rPr>
          <w:rFonts w:hint="eastAsia" w:ascii="宋体" w:hAnsi="宋体" w:eastAsia="宋体" w:cs="宋体"/>
          <w:color w:val="auto"/>
          <w:highlight w:val="none"/>
        </w:rPr>
        <w:fldChar w:fldCharType="separate"/>
      </w:r>
      <w:r>
        <w:rPr>
          <w:rStyle w:val="46"/>
          <w:rFonts w:hint="eastAsia" w:ascii="宋体" w:hAnsi="宋体" w:eastAsia="宋体" w:cs="宋体"/>
          <w:color w:val="auto"/>
          <w:sz w:val="36"/>
          <w:highlight w:val="none"/>
        </w:rPr>
        <w:t>第三部分采购需求</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_Toc10725993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14</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24"/>
        <w:tabs>
          <w:tab w:val="right" w:leader="dot" w:pos="8988"/>
        </w:tabs>
        <w:spacing w:line="360" w:lineRule="auto"/>
        <w:rPr>
          <w:rFonts w:hint="eastAsia" w:ascii="宋体" w:hAnsi="宋体" w:eastAsia="宋体" w:cs="宋体"/>
          <w:color w:val="auto"/>
          <w:kern w:val="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"_Toc10725994" </w:instrText>
      </w:r>
      <w:r>
        <w:rPr>
          <w:rFonts w:hint="eastAsia" w:ascii="宋体" w:hAnsi="宋体" w:eastAsia="宋体" w:cs="宋体"/>
          <w:color w:val="auto"/>
          <w:highlight w:val="none"/>
        </w:rPr>
        <w:fldChar w:fldCharType="separate"/>
      </w:r>
      <w:r>
        <w:rPr>
          <w:rStyle w:val="46"/>
          <w:rFonts w:hint="eastAsia" w:ascii="宋体" w:hAnsi="宋体" w:eastAsia="宋体" w:cs="宋体"/>
          <w:color w:val="auto"/>
          <w:sz w:val="36"/>
          <w:highlight w:val="none"/>
        </w:rPr>
        <w:t>第四部分合同样本</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_Toc10725994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23</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24"/>
        <w:tabs>
          <w:tab w:val="right" w:leader="dot" w:pos="8988"/>
        </w:tabs>
        <w:spacing w:line="360" w:lineRule="auto"/>
        <w:rPr>
          <w:rFonts w:hint="eastAsia" w:ascii="宋体" w:hAnsi="宋体" w:eastAsia="宋体" w:cs="宋体"/>
          <w:color w:val="auto"/>
          <w:kern w:val="2"/>
          <w:sz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"_Toc10725995" </w:instrText>
      </w:r>
      <w:r>
        <w:rPr>
          <w:rFonts w:hint="eastAsia" w:ascii="宋体" w:hAnsi="宋体" w:eastAsia="宋体" w:cs="宋体"/>
          <w:color w:val="auto"/>
          <w:highlight w:val="none"/>
        </w:rPr>
        <w:fldChar w:fldCharType="separate"/>
      </w:r>
      <w:r>
        <w:rPr>
          <w:rStyle w:val="46"/>
          <w:rFonts w:hint="eastAsia" w:ascii="宋体" w:hAnsi="宋体" w:eastAsia="宋体" w:cs="宋体"/>
          <w:color w:val="auto"/>
          <w:sz w:val="36"/>
          <w:highlight w:val="none"/>
        </w:rPr>
        <w:t>第五部分投标文件格式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_Toc10725995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48</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rPr>
          <w:rFonts w:hint="eastAsia" w:ascii="宋体" w:hAnsi="宋体" w:eastAsia="宋体" w:cs="宋体"/>
          <w:color w:val="auto"/>
          <w:highlight w:val="none"/>
        </w:rPr>
      </w:pPr>
      <w:r>
        <w:rPr>
          <w:rFonts w:hint="eastAsia" w:ascii="宋体" w:hAnsi="宋体" w:eastAsia="宋体" w:cs="宋体"/>
          <w:color w:val="auto"/>
          <w:kern w:val="0"/>
          <w:sz w:val="22"/>
          <w:highlight w:val="none"/>
        </w:rPr>
        <w:fldChar w:fldCharType="end"/>
      </w:r>
    </w:p>
    <w:p>
      <w:pPr>
        <w:pStyle w:val="49"/>
        <w:spacing w:line="360" w:lineRule="auto"/>
        <w:rPr>
          <w:rFonts w:hint="eastAsia" w:ascii="宋体" w:hAnsi="宋体" w:eastAsia="宋体" w:cs="宋体"/>
          <w:color w:val="auto"/>
          <w:highlight w:val="none"/>
        </w:rPr>
        <w:sectPr>
          <w:pgSz w:w="11907" w:h="16840"/>
          <w:pgMar w:top="1304" w:right="1565" w:bottom="1247" w:left="1344" w:header="851" w:footer="992" w:gutter="0"/>
          <w:cols w:space="720" w:num="1"/>
          <w:docGrid w:linePitch="312" w:charSpace="0"/>
        </w:sectPr>
      </w:pPr>
      <w:bookmarkStart w:id="1" w:name="_Toc482110464"/>
    </w:p>
    <w:p>
      <w:pPr>
        <w:pStyle w:val="49"/>
        <w:spacing w:line="240" w:lineRule="auto"/>
        <w:rPr>
          <w:rFonts w:hint="eastAsia" w:ascii="宋体" w:hAnsi="宋体" w:eastAsia="宋体" w:cs="宋体"/>
          <w:color w:val="auto"/>
          <w:highlight w:val="none"/>
        </w:rPr>
      </w:pPr>
      <w:bookmarkStart w:id="2" w:name="_Toc10725991"/>
      <w:r>
        <w:rPr>
          <w:rFonts w:hint="eastAsia" w:ascii="宋体" w:hAnsi="宋体" w:eastAsia="宋体" w:cs="宋体"/>
          <w:color w:val="auto"/>
          <w:highlight w:val="none"/>
        </w:rPr>
        <w:t xml:space="preserve">第一部分 </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公告</w:t>
      </w:r>
      <w:bookmarkEnd w:id="1"/>
      <w:bookmarkEnd w:id="2"/>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bookmarkStart w:id="3" w:name="_Toc482110465"/>
      <w:r>
        <w:rPr>
          <w:rFonts w:hint="eastAsia" w:ascii="宋体" w:hAnsi="宋体" w:eastAsia="宋体" w:cs="宋体"/>
          <w:color w:val="auto"/>
          <w:sz w:val="24"/>
          <w:highlight w:val="none"/>
        </w:rPr>
        <w:t>根据相关规定，经批准，现就重庆市荣昌区人民医院</w:t>
      </w:r>
      <w:r>
        <w:rPr>
          <w:rFonts w:hint="eastAsia" w:ascii="宋体" w:hAnsi="宋体" w:eastAsia="宋体" w:cs="宋体"/>
          <w:color w:val="auto"/>
          <w:sz w:val="24"/>
          <w:highlight w:val="none"/>
          <w:lang w:eastAsia="zh-CN"/>
        </w:rPr>
        <w:t>内科7楼静脉输液配置中心改造项目</w:t>
      </w:r>
      <w:r>
        <w:rPr>
          <w:rFonts w:hint="eastAsia" w:ascii="宋体" w:hAnsi="宋体" w:eastAsia="宋体" w:cs="宋体"/>
          <w:color w:val="auto"/>
          <w:sz w:val="24"/>
          <w:highlight w:val="none"/>
        </w:rPr>
        <w:t>招标。欢迎符合要求并有能力完成本项目的投标人前来投标。</w:t>
      </w: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项目名称及编号：重庆市荣昌区人民医院</w:t>
      </w:r>
      <w:r>
        <w:rPr>
          <w:rFonts w:hint="eastAsia" w:ascii="宋体" w:hAnsi="宋体" w:eastAsia="宋体" w:cs="宋体"/>
          <w:b/>
          <w:color w:val="auto"/>
          <w:sz w:val="24"/>
          <w:highlight w:val="none"/>
          <w:lang w:eastAsia="zh-CN"/>
        </w:rPr>
        <w:t>内科7楼静脉输液配置中心改造项目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default" w:ascii="宋体" w:hAnsi="宋体" w:eastAsia="宋体" w:cs="宋体"/>
          <w:b/>
          <w:bCs/>
          <w:color w:val="auto"/>
          <w:sz w:val="24"/>
          <w:highlight w:val="yellow"/>
          <w:u w:val="single"/>
          <w:lang w:val="en-US" w:eastAsia="zh-CN"/>
        </w:rPr>
      </w:pPr>
      <w:r>
        <w:rPr>
          <w:rFonts w:hint="eastAsia" w:ascii="宋体" w:hAnsi="宋体" w:eastAsia="宋体" w:cs="宋体"/>
          <w:b/>
          <w:bCs/>
          <w:color w:val="auto"/>
          <w:sz w:val="24"/>
          <w:highlight w:val="none"/>
        </w:rPr>
        <w:t>二、采购组织类型：</w:t>
      </w:r>
      <w:r>
        <w:rPr>
          <w:rFonts w:hint="eastAsia" w:ascii="宋体" w:hAnsi="宋体" w:cs="宋体"/>
          <w:b/>
          <w:bCs/>
          <w:color w:val="auto"/>
          <w:sz w:val="24"/>
          <w:highlight w:val="none"/>
          <w:lang w:val="en-US" w:eastAsia="zh-CN"/>
        </w:rPr>
        <w:t>院内公开采购</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highlight w:val="yellow"/>
          <w:lang w:eastAsia="zh-CN"/>
        </w:rPr>
      </w:pPr>
      <w:r>
        <w:rPr>
          <w:rFonts w:hint="eastAsia" w:ascii="宋体" w:hAnsi="宋体" w:eastAsia="宋体" w:cs="宋体"/>
          <w:b/>
          <w:bCs/>
          <w:color w:val="auto"/>
          <w:sz w:val="24"/>
          <w:highlight w:val="none"/>
        </w:rPr>
        <w:t>三、采购方式：</w:t>
      </w:r>
      <w:r>
        <w:rPr>
          <w:rFonts w:hint="eastAsia" w:ascii="宋体" w:hAnsi="宋体" w:cs="宋体"/>
          <w:b/>
          <w:bCs/>
          <w:color w:val="auto"/>
          <w:sz w:val="24"/>
          <w:highlight w:val="none"/>
          <w:lang w:eastAsia="zh-CN"/>
        </w:rPr>
        <w:t>竞争性比选</w:t>
      </w:r>
      <w:r>
        <w:rPr>
          <w:rFonts w:hint="eastAsia" w:ascii="宋体" w:hAnsi="宋体" w:eastAsia="宋体" w:cs="宋体"/>
          <w:b/>
          <w:bCs/>
          <w:color w:val="auto"/>
          <w:sz w:val="24"/>
          <w:highlight w:val="none"/>
        </w:rPr>
        <w:t>（非政府采购项目）</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四、采购内容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本项目采购内容为重庆市荣昌区人民医院</w:t>
      </w:r>
      <w:r>
        <w:rPr>
          <w:rFonts w:hint="eastAsia" w:ascii="宋体" w:hAnsi="宋体" w:eastAsia="宋体" w:cs="宋体"/>
          <w:b/>
          <w:color w:val="auto"/>
          <w:sz w:val="24"/>
          <w:highlight w:val="none"/>
          <w:lang w:eastAsia="zh-CN"/>
        </w:rPr>
        <w:t>内科7楼静脉输液配置中心改造项目</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具体要求详见本</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“第三部分 采购需求”。预算（</w:t>
      </w:r>
      <w:r>
        <w:rPr>
          <w:rFonts w:hint="eastAsia" w:ascii="宋体" w:hAnsi="宋体" w:eastAsia="宋体" w:cs="宋体"/>
          <w:color w:val="auto"/>
          <w:sz w:val="24"/>
          <w:highlight w:val="none"/>
          <w:lang w:eastAsia="zh-CN"/>
        </w:rPr>
        <w:t>最高限价</w:t>
      </w:r>
      <w:r>
        <w:rPr>
          <w:rFonts w:hint="eastAsia" w:ascii="宋体" w:hAnsi="宋体" w:eastAsia="宋体" w:cs="宋体"/>
          <w:color w:val="auto"/>
          <w:sz w:val="24"/>
          <w:highlight w:val="none"/>
        </w:rPr>
        <w:t>）金额：预算</w:t>
      </w:r>
      <w:r>
        <w:rPr>
          <w:rFonts w:hint="eastAsia" w:ascii="宋体" w:hAnsi="宋体" w:cs="宋体"/>
          <w:color w:val="auto"/>
          <w:sz w:val="24"/>
          <w:highlight w:val="none"/>
          <w:lang w:val="en-US" w:eastAsia="zh-CN"/>
        </w:rPr>
        <w:t>243043.27</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p>
    <w:p>
      <w:pPr>
        <w:pStyle w:val="60"/>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窗体底端</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五、合格投标人的资格要求</w:t>
      </w:r>
    </w:p>
    <w:p>
      <w:pPr>
        <w:keepNext w:val="0"/>
        <w:keepLines w:val="0"/>
        <w:pageBreakBefore w:val="0"/>
        <w:widowControl w:val="0"/>
        <w:tabs>
          <w:tab w:val="left" w:pos="900"/>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rPr>
        <w:t>投标人须具备建设行政主管部门颁发的建筑装修装饰工程专业承包贰级及以上资质且具备安全施工许可证（须提供有效的资质证书复印件加盖供应商公章）；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要求拟派项目负责人须具有机电工程二级及以上建造师执业资格，注册在投标人单位。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具有独立承担民事责任的能力；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、具有履行合同所必需的设备和专业技术能力；</w:t>
      </w:r>
      <w:bookmarkStart w:id="45" w:name="_GoBack"/>
      <w:bookmarkEnd w:id="45"/>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、本项目不接受联合体投标。</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六、投标报名</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1、报名与获取</w:t>
      </w:r>
      <w:r>
        <w:rPr>
          <w:rFonts w:hint="eastAsia" w:ascii="宋体" w:hAnsi="宋体" w:cs="宋体"/>
          <w:b/>
          <w:bCs/>
          <w:color w:val="auto"/>
          <w:sz w:val="24"/>
          <w:highlight w:val="none"/>
          <w:lang w:eastAsia="zh-CN"/>
        </w:rPr>
        <w:t>竞争性比选文件</w:t>
      </w:r>
      <w:r>
        <w:rPr>
          <w:rFonts w:hint="eastAsia" w:ascii="宋体" w:hAnsi="宋体" w:eastAsia="宋体" w:cs="宋体"/>
          <w:b/>
          <w:bCs/>
          <w:color w:val="auto"/>
          <w:sz w:val="24"/>
          <w:highlight w:val="none"/>
        </w:rPr>
        <w:t>时间：</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202</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年</w:t>
      </w:r>
      <w:r>
        <w:rPr>
          <w:rFonts w:hint="eastAsia" w:ascii="宋体" w:hAnsi="宋体" w:eastAsia="宋体" w:cs="宋体"/>
          <w:b/>
          <w:bCs/>
          <w:color w:val="auto"/>
          <w:sz w:val="24"/>
          <w:highlight w:val="none"/>
          <w:lang w:val="en-US" w:eastAsia="zh-CN"/>
        </w:rPr>
        <w:t xml:space="preserve"> </w:t>
      </w: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rPr>
        <w:t>月</w:t>
      </w:r>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rPr>
        <w:t>日至202</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月</w:t>
      </w:r>
      <w:r>
        <w:rPr>
          <w:rFonts w:hint="eastAsia" w:ascii="宋体" w:hAnsi="宋体" w:cs="宋体"/>
          <w:b/>
          <w:bCs/>
          <w:color w:val="auto"/>
          <w:sz w:val="24"/>
          <w:highlight w:val="none"/>
          <w:lang w:val="en-US" w:eastAsia="zh-CN"/>
        </w:rPr>
        <w:t>13</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日（双休日及法定节假日除外，逾期不予受理）</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时间：上午：8：30-11：00，下午：1</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：30-16：30</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报名地点：</w:t>
      </w:r>
      <w:r>
        <w:rPr>
          <w:rFonts w:hint="eastAsia" w:ascii="宋体" w:hAnsi="宋体" w:cs="宋体"/>
          <w:b/>
          <w:bCs/>
          <w:color w:val="auto"/>
          <w:sz w:val="24"/>
          <w:highlight w:val="none"/>
          <w:lang w:eastAsia="zh-CN"/>
        </w:rPr>
        <w:t>重庆市荣昌区人民医院行政楼二楼采购办三（后西街</w:t>
      </w:r>
      <w:r>
        <w:rPr>
          <w:rFonts w:hint="eastAsia" w:ascii="宋体" w:hAnsi="宋体" w:cs="宋体"/>
          <w:b/>
          <w:bCs/>
          <w:color w:val="auto"/>
          <w:sz w:val="24"/>
          <w:highlight w:val="none"/>
          <w:lang w:val="en-US" w:eastAsia="zh-CN"/>
        </w:rPr>
        <w:t>169号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联系电话：</w:t>
      </w:r>
      <w:r>
        <w:rPr>
          <w:rFonts w:hint="eastAsia" w:ascii="宋体" w:hAnsi="宋体" w:cs="宋体"/>
          <w:b/>
          <w:bCs/>
          <w:color w:val="auto"/>
          <w:sz w:val="24"/>
          <w:highlight w:val="none"/>
          <w:lang w:eastAsia="zh-CN"/>
        </w:rPr>
        <w:t>段先生</w:t>
      </w:r>
      <w:r>
        <w:rPr>
          <w:rFonts w:hint="eastAsia" w:ascii="宋体" w:hAnsi="宋体" w:cs="宋体"/>
          <w:b/>
          <w:bCs/>
          <w:color w:val="auto"/>
          <w:sz w:val="24"/>
          <w:highlight w:val="none"/>
          <w:lang w:val="en-US" w:eastAsia="zh-CN"/>
        </w:rPr>
        <w:t>02346264775   曹先生：023-46331363</w:t>
      </w:r>
      <w:r>
        <w:rPr>
          <w:rFonts w:hint="eastAsia" w:ascii="宋体" w:hAnsi="宋体" w:eastAsia="宋体" w:cs="宋体"/>
          <w:b/>
          <w:bCs/>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2、领取</w:t>
      </w:r>
      <w:r>
        <w:rPr>
          <w:rFonts w:hint="eastAsia" w:ascii="宋体" w:hAnsi="宋体" w:cs="宋体"/>
          <w:b/>
          <w:bCs/>
          <w:color w:val="auto"/>
          <w:sz w:val="24"/>
          <w:highlight w:val="none"/>
          <w:lang w:eastAsia="zh-CN"/>
        </w:rPr>
        <w:t>竞争性比选文件</w:t>
      </w:r>
      <w:r>
        <w:rPr>
          <w:rFonts w:hint="eastAsia" w:ascii="宋体" w:hAnsi="宋体" w:eastAsia="宋体" w:cs="宋体"/>
          <w:b/>
          <w:bCs/>
          <w:color w:val="auto"/>
          <w:sz w:val="24"/>
          <w:highlight w:val="none"/>
        </w:rPr>
        <w:t>时应提供以下资料（复印件均须加盖公章）：</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2.1、营业执照(或事业法人登记证书或其它工商等登记证明材料；自然人参与采购，提供身份证)复印件；</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2.2、法定代表人授权委托书原件；</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2.3、授权代表有效身份证件原件及复印件；</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eastAsia="zh-CN"/>
        </w:rPr>
        <w:t>竞争性比选文件</w:t>
      </w:r>
      <w:r>
        <w:rPr>
          <w:rFonts w:hint="eastAsia" w:ascii="宋体" w:hAnsi="宋体" w:eastAsia="宋体" w:cs="宋体"/>
          <w:b/>
          <w:bCs/>
          <w:color w:val="auto"/>
          <w:sz w:val="24"/>
          <w:highlight w:val="none"/>
        </w:rPr>
        <w:t>获取方式：报名现场获取，</w:t>
      </w:r>
      <w:r>
        <w:rPr>
          <w:rFonts w:hint="eastAsia" w:ascii="宋体" w:hAnsi="宋体" w:cs="宋体"/>
          <w:b/>
          <w:bCs/>
          <w:color w:val="auto"/>
          <w:sz w:val="24"/>
          <w:highlight w:val="none"/>
          <w:lang w:eastAsia="zh-CN"/>
        </w:rPr>
        <w:t>竞争性比选文件</w:t>
      </w:r>
      <w:r>
        <w:rPr>
          <w:rFonts w:hint="eastAsia" w:ascii="宋体" w:hAnsi="宋体" w:eastAsia="宋体" w:cs="宋体"/>
          <w:b/>
          <w:bCs/>
          <w:color w:val="auto"/>
          <w:sz w:val="24"/>
          <w:highlight w:val="none"/>
        </w:rPr>
        <w:t>工本费每套人民币</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元。</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七、投标保证金：不采用</w:t>
      </w:r>
    </w:p>
    <w:p>
      <w:pPr>
        <w:pStyle w:val="160"/>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八</w:t>
      </w:r>
      <w:r>
        <w:rPr>
          <w:rFonts w:hint="eastAsia" w:ascii="宋体" w:hAnsi="宋体" w:eastAsia="宋体" w:cs="宋体"/>
          <w:b/>
          <w:bCs/>
          <w:color w:val="auto"/>
          <w:sz w:val="24"/>
          <w:highlight w:val="none"/>
        </w:rPr>
        <w:t>、投标截止时间与地点（逾期送达或未密封将予以拒收）：</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highlight w:val="none"/>
          <w:u w:val="thick"/>
        </w:rPr>
      </w:pPr>
      <w:bookmarkStart w:id="4" w:name="bidEndDate"/>
      <w:bookmarkEnd w:id="4"/>
      <w:r>
        <w:rPr>
          <w:rFonts w:hint="eastAsia" w:ascii="宋体" w:hAnsi="宋体" w:eastAsia="宋体" w:cs="宋体"/>
          <w:b/>
          <w:color w:val="auto"/>
          <w:sz w:val="24"/>
          <w:highlight w:val="none"/>
          <w:u w:val="thick"/>
        </w:rPr>
        <w:t>202</w:t>
      </w:r>
      <w:r>
        <w:rPr>
          <w:rFonts w:hint="eastAsia" w:ascii="宋体" w:hAnsi="宋体" w:eastAsia="宋体" w:cs="宋体"/>
          <w:b/>
          <w:color w:val="auto"/>
          <w:sz w:val="24"/>
          <w:highlight w:val="none"/>
          <w:u w:val="thick"/>
          <w:lang w:val="en-US" w:eastAsia="zh-CN"/>
        </w:rPr>
        <w:t>3</w:t>
      </w:r>
      <w:r>
        <w:rPr>
          <w:rFonts w:hint="eastAsia" w:ascii="宋体" w:hAnsi="宋体" w:eastAsia="宋体" w:cs="宋体"/>
          <w:b/>
          <w:color w:val="auto"/>
          <w:sz w:val="24"/>
          <w:highlight w:val="none"/>
          <w:u w:val="thick"/>
        </w:rPr>
        <w:t>年</w:t>
      </w:r>
      <w:r>
        <w:rPr>
          <w:rFonts w:hint="eastAsia" w:ascii="宋体" w:hAnsi="宋体" w:cs="宋体"/>
          <w:b/>
          <w:color w:val="auto"/>
          <w:sz w:val="24"/>
          <w:highlight w:val="none"/>
          <w:u w:val="thick"/>
          <w:lang w:val="en-US" w:eastAsia="zh-CN"/>
        </w:rPr>
        <w:t>9</w:t>
      </w:r>
      <w:r>
        <w:rPr>
          <w:rFonts w:hint="eastAsia" w:ascii="宋体" w:hAnsi="宋体" w:eastAsia="宋体" w:cs="宋体"/>
          <w:b/>
          <w:color w:val="auto"/>
          <w:sz w:val="24"/>
          <w:highlight w:val="none"/>
          <w:u w:val="thick"/>
        </w:rPr>
        <w:t>月</w:t>
      </w:r>
      <w:r>
        <w:rPr>
          <w:rFonts w:hint="eastAsia" w:ascii="宋体" w:hAnsi="宋体" w:eastAsia="宋体" w:cs="宋体"/>
          <w:b/>
          <w:color w:val="auto"/>
          <w:sz w:val="24"/>
          <w:highlight w:val="none"/>
          <w:u w:val="thick"/>
          <w:lang w:val="en-US" w:eastAsia="zh-CN"/>
        </w:rPr>
        <w:t xml:space="preserve"> </w:t>
      </w:r>
      <w:r>
        <w:rPr>
          <w:rFonts w:hint="eastAsia" w:ascii="宋体" w:hAnsi="宋体" w:cs="宋体"/>
          <w:b/>
          <w:color w:val="auto"/>
          <w:sz w:val="24"/>
          <w:highlight w:val="none"/>
          <w:u w:val="thick"/>
          <w:lang w:val="en-US" w:eastAsia="zh-CN"/>
        </w:rPr>
        <w:t>14</w:t>
      </w:r>
      <w:r>
        <w:rPr>
          <w:rFonts w:hint="eastAsia" w:ascii="宋体" w:hAnsi="宋体" w:eastAsia="宋体" w:cs="宋体"/>
          <w:b/>
          <w:color w:val="auto"/>
          <w:sz w:val="24"/>
          <w:highlight w:val="none"/>
          <w:u w:val="thick"/>
          <w:lang w:val="en-US" w:eastAsia="zh-CN"/>
        </w:rPr>
        <w:t xml:space="preserve"> </w:t>
      </w:r>
      <w:r>
        <w:rPr>
          <w:rFonts w:hint="eastAsia" w:ascii="宋体" w:hAnsi="宋体" w:eastAsia="宋体" w:cs="宋体"/>
          <w:b/>
          <w:color w:val="auto"/>
          <w:sz w:val="24"/>
          <w:highlight w:val="none"/>
          <w:u w:val="thick"/>
        </w:rPr>
        <w:t>日 1</w:t>
      </w:r>
      <w:r>
        <w:rPr>
          <w:rFonts w:hint="eastAsia" w:ascii="宋体" w:hAnsi="宋体" w:cs="宋体"/>
          <w:b/>
          <w:color w:val="auto"/>
          <w:sz w:val="24"/>
          <w:highlight w:val="none"/>
          <w:u w:val="thick"/>
          <w:lang w:val="en-US" w:eastAsia="zh-CN"/>
        </w:rPr>
        <w:t>0</w:t>
      </w:r>
      <w:r>
        <w:rPr>
          <w:rFonts w:hint="eastAsia" w:ascii="宋体" w:hAnsi="宋体" w:eastAsia="宋体" w:cs="宋体"/>
          <w:b/>
          <w:color w:val="auto"/>
          <w:sz w:val="24"/>
          <w:highlight w:val="none"/>
          <w:u w:val="thick"/>
        </w:rPr>
        <w:t>:</w:t>
      </w:r>
      <w:r>
        <w:rPr>
          <w:rFonts w:hint="eastAsia" w:ascii="宋体" w:hAnsi="宋体" w:cs="宋体"/>
          <w:b/>
          <w:color w:val="auto"/>
          <w:sz w:val="24"/>
          <w:highlight w:val="none"/>
          <w:u w:val="thick"/>
          <w:lang w:val="en-US" w:eastAsia="zh-CN"/>
        </w:rPr>
        <w:t>0</w:t>
      </w:r>
      <w:r>
        <w:rPr>
          <w:rFonts w:hint="eastAsia" w:ascii="宋体" w:hAnsi="宋体" w:eastAsia="宋体" w:cs="宋体"/>
          <w:b/>
          <w:color w:val="auto"/>
          <w:sz w:val="24"/>
          <w:highlight w:val="none"/>
          <w:u w:val="thick"/>
        </w:rPr>
        <w:t>0（北京时间）</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highlight w:val="none"/>
          <w:u w:val="thick"/>
          <w:lang w:val="en-US" w:eastAsia="zh-CN"/>
        </w:rPr>
      </w:pPr>
      <w:r>
        <w:rPr>
          <w:rFonts w:hint="eastAsia" w:ascii="宋体" w:hAnsi="宋体" w:eastAsia="宋体" w:cs="宋体"/>
          <w:b/>
          <w:color w:val="auto"/>
          <w:sz w:val="24"/>
          <w:highlight w:val="none"/>
          <w:u w:val="thick"/>
          <w:lang w:val="en-US" w:eastAsia="zh-CN"/>
        </w:rPr>
        <w:t xml:space="preserve"> </w:t>
      </w:r>
      <w:r>
        <w:rPr>
          <w:rFonts w:hint="eastAsia" w:ascii="宋体" w:hAnsi="宋体" w:eastAsia="宋体" w:cs="宋体"/>
          <w:b/>
          <w:color w:val="auto"/>
          <w:sz w:val="24"/>
          <w:highlight w:val="none"/>
          <w:u w:val="thick"/>
        </w:rPr>
        <w:t>重庆市荣昌区后西街169号</w:t>
      </w:r>
      <w:r>
        <w:rPr>
          <w:rFonts w:hint="eastAsia" w:ascii="宋体" w:hAnsi="宋体" w:eastAsia="宋体" w:cs="宋体"/>
          <w:b/>
          <w:color w:val="auto"/>
          <w:sz w:val="24"/>
          <w:highlight w:val="none"/>
          <w:u w:val="thick"/>
          <w:lang w:eastAsia="zh-CN"/>
        </w:rPr>
        <w:t>（老保健院内）</w:t>
      </w:r>
      <w:r>
        <w:rPr>
          <w:rFonts w:hint="eastAsia" w:ascii="宋体" w:hAnsi="宋体" w:eastAsia="宋体" w:cs="宋体"/>
          <w:b/>
          <w:color w:val="auto"/>
          <w:sz w:val="24"/>
          <w:highlight w:val="none"/>
          <w:u w:val="thick"/>
          <w:lang w:val="en-US" w:eastAsia="zh-CN"/>
        </w:rPr>
        <w:t>（地点）</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九、开标时间与地点（投标人代表携带本人有效身份证件出席开标会议）：</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highlight w:val="none"/>
          <w:u w:val="thick"/>
        </w:rPr>
      </w:pPr>
      <w:bookmarkStart w:id="5" w:name="openDate"/>
      <w:bookmarkEnd w:id="5"/>
      <w:r>
        <w:rPr>
          <w:rFonts w:hint="eastAsia" w:ascii="宋体" w:hAnsi="宋体" w:eastAsia="宋体" w:cs="宋体"/>
          <w:b/>
          <w:color w:val="auto"/>
          <w:sz w:val="24"/>
          <w:highlight w:val="none"/>
          <w:u w:val="thick"/>
        </w:rPr>
        <w:t>202</w:t>
      </w:r>
      <w:r>
        <w:rPr>
          <w:rFonts w:hint="eastAsia" w:ascii="宋体" w:hAnsi="宋体" w:eastAsia="宋体" w:cs="宋体"/>
          <w:b/>
          <w:color w:val="auto"/>
          <w:sz w:val="24"/>
          <w:highlight w:val="none"/>
          <w:u w:val="thick"/>
          <w:lang w:val="en-US" w:eastAsia="zh-CN"/>
        </w:rPr>
        <w:t>3</w:t>
      </w:r>
      <w:r>
        <w:rPr>
          <w:rFonts w:hint="eastAsia" w:ascii="宋体" w:hAnsi="宋体" w:eastAsia="宋体" w:cs="宋体"/>
          <w:b/>
          <w:color w:val="auto"/>
          <w:sz w:val="24"/>
          <w:highlight w:val="none"/>
          <w:u w:val="thick"/>
        </w:rPr>
        <w:t>年</w:t>
      </w:r>
      <w:r>
        <w:rPr>
          <w:rFonts w:hint="eastAsia" w:ascii="宋体" w:hAnsi="宋体" w:cs="宋体"/>
          <w:b/>
          <w:color w:val="auto"/>
          <w:sz w:val="24"/>
          <w:highlight w:val="none"/>
          <w:u w:val="thick"/>
          <w:lang w:val="en-US" w:eastAsia="zh-CN"/>
        </w:rPr>
        <w:t>9</w:t>
      </w:r>
      <w:r>
        <w:rPr>
          <w:rFonts w:hint="eastAsia" w:ascii="宋体" w:hAnsi="宋体" w:eastAsia="宋体" w:cs="宋体"/>
          <w:b/>
          <w:color w:val="auto"/>
          <w:sz w:val="24"/>
          <w:highlight w:val="none"/>
          <w:u w:val="thick"/>
          <w:lang w:val="en-US" w:eastAsia="zh-CN"/>
        </w:rPr>
        <w:t xml:space="preserve"> </w:t>
      </w:r>
      <w:r>
        <w:rPr>
          <w:rFonts w:hint="eastAsia" w:ascii="宋体" w:hAnsi="宋体" w:eastAsia="宋体" w:cs="宋体"/>
          <w:b/>
          <w:color w:val="auto"/>
          <w:sz w:val="24"/>
          <w:highlight w:val="none"/>
          <w:u w:val="thick"/>
        </w:rPr>
        <w:t>月</w:t>
      </w:r>
      <w:r>
        <w:rPr>
          <w:rFonts w:hint="eastAsia" w:ascii="宋体" w:hAnsi="宋体" w:eastAsia="宋体" w:cs="宋体"/>
          <w:b/>
          <w:color w:val="auto"/>
          <w:sz w:val="24"/>
          <w:highlight w:val="none"/>
          <w:u w:val="thick"/>
          <w:lang w:val="en-US" w:eastAsia="zh-CN"/>
        </w:rPr>
        <w:t xml:space="preserve"> </w:t>
      </w:r>
      <w:r>
        <w:rPr>
          <w:rFonts w:hint="eastAsia" w:ascii="宋体" w:hAnsi="宋体" w:cs="宋体"/>
          <w:b/>
          <w:color w:val="auto"/>
          <w:sz w:val="24"/>
          <w:highlight w:val="none"/>
          <w:u w:val="thick"/>
          <w:lang w:val="en-US" w:eastAsia="zh-CN"/>
        </w:rPr>
        <w:t>14</w:t>
      </w:r>
      <w:r>
        <w:rPr>
          <w:rFonts w:hint="eastAsia" w:ascii="宋体" w:hAnsi="宋体" w:eastAsia="宋体" w:cs="宋体"/>
          <w:b/>
          <w:color w:val="auto"/>
          <w:sz w:val="24"/>
          <w:highlight w:val="none"/>
          <w:u w:val="thick"/>
        </w:rPr>
        <w:t>日</w:t>
      </w:r>
      <w:r>
        <w:rPr>
          <w:rFonts w:hint="eastAsia" w:ascii="宋体" w:hAnsi="宋体" w:eastAsia="宋体" w:cs="宋体"/>
          <w:b/>
          <w:color w:val="auto"/>
          <w:sz w:val="24"/>
          <w:highlight w:val="none"/>
          <w:u w:val="thick"/>
          <w:lang w:val="en-US" w:eastAsia="zh-CN"/>
        </w:rPr>
        <w:t xml:space="preserve"> </w:t>
      </w:r>
      <w:r>
        <w:rPr>
          <w:rFonts w:hint="eastAsia" w:ascii="宋体" w:hAnsi="宋体" w:cs="宋体"/>
          <w:b/>
          <w:color w:val="auto"/>
          <w:sz w:val="24"/>
          <w:highlight w:val="none"/>
          <w:u w:val="thick"/>
          <w:lang w:val="en-US" w:eastAsia="zh-CN"/>
        </w:rPr>
        <w:t>10:00</w:t>
      </w:r>
      <w:r>
        <w:rPr>
          <w:rFonts w:hint="eastAsia" w:ascii="宋体" w:hAnsi="宋体" w:eastAsia="宋体" w:cs="宋体"/>
          <w:b/>
          <w:color w:val="auto"/>
          <w:sz w:val="24"/>
          <w:highlight w:val="none"/>
          <w:u w:val="thick"/>
        </w:rPr>
        <w:t>（北京时间）</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default" w:ascii="宋体" w:hAnsi="宋体" w:eastAsia="宋体" w:cs="宋体"/>
          <w:color w:val="auto"/>
          <w:highlight w:val="none"/>
          <w:lang w:val="en-US"/>
        </w:rPr>
      </w:pP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color w:val="auto"/>
          <w:sz w:val="24"/>
          <w:highlight w:val="none"/>
          <w:u w:val="thick"/>
        </w:rPr>
        <w:t>重庆市荣昌区后西街169号</w:t>
      </w:r>
      <w:r>
        <w:rPr>
          <w:rFonts w:hint="eastAsia" w:ascii="宋体" w:hAnsi="宋体" w:cs="宋体"/>
          <w:b/>
          <w:color w:val="auto"/>
          <w:sz w:val="24"/>
          <w:highlight w:val="none"/>
          <w:u w:val="thick"/>
          <w:lang w:eastAsia="zh-CN"/>
        </w:rPr>
        <w:t>行政楼三楼会议室一</w:t>
      </w:r>
      <w:r>
        <w:rPr>
          <w:rFonts w:hint="eastAsia" w:ascii="宋体" w:hAnsi="宋体" w:eastAsia="宋体" w:cs="宋体"/>
          <w:b/>
          <w:color w:val="auto"/>
          <w:sz w:val="24"/>
          <w:highlight w:val="none"/>
          <w:u w:val="thick"/>
          <w:lang w:eastAsia="zh-CN"/>
        </w:rPr>
        <w:t>（老保健院内）</w:t>
      </w:r>
      <w:r>
        <w:rPr>
          <w:rFonts w:hint="eastAsia" w:ascii="宋体" w:hAnsi="宋体" w:cs="宋体"/>
          <w:b/>
          <w:color w:val="auto"/>
          <w:sz w:val="24"/>
          <w:highlight w:val="none"/>
          <w:u w:val="thick"/>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招 标 人：重庆市荣昌区人民医院</w:t>
      </w:r>
      <w:r>
        <w:rPr>
          <w:rFonts w:hint="eastAsia" w:ascii="宋体" w:hAnsi="宋体" w:eastAsia="宋体" w:cs="宋体"/>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rPr>
        <w:t>重庆市荣昌区后西街169号</w:t>
      </w:r>
      <w:r>
        <w:rPr>
          <w:rFonts w:hint="eastAsia" w:ascii="宋体" w:hAnsi="宋体" w:cs="宋体"/>
          <w:color w:val="auto"/>
          <w:sz w:val="24"/>
          <w:highlight w:val="none"/>
          <w:lang w:eastAsia="zh-CN"/>
        </w:rPr>
        <w:t>（老保健院内）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cs="宋体"/>
          <w:color w:val="auto"/>
          <w:sz w:val="24"/>
          <w:highlight w:val="none"/>
          <w:lang w:eastAsia="zh-CN"/>
        </w:rPr>
        <w:t>段先生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02346264775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adjustRightInd w:val="0"/>
        <w:snapToGrid w:val="0"/>
        <w:spacing w:line="360" w:lineRule="auto"/>
        <w:ind w:firstLine="480" w:firstLineChars="200"/>
        <w:rPr>
          <w:rFonts w:hint="eastAsia" w:ascii="宋体" w:hAnsi="宋体" w:eastAsia="宋体" w:cs="宋体"/>
          <w:color w:val="auto"/>
          <w:sz w:val="24"/>
          <w:highlight w:val="none"/>
        </w:rPr>
      </w:pPr>
    </w:p>
    <w:p>
      <w:pPr>
        <w:adjustRightInd w:val="0"/>
        <w:snapToGrid w:val="0"/>
        <w:spacing w:line="360" w:lineRule="auto"/>
        <w:ind w:firstLine="480" w:firstLineChars="200"/>
        <w:rPr>
          <w:rFonts w:hint="eastAsia" w:ascii="宋体" w:hAnsi="宋体" w:eastAsia="宋体" w:cs="宋体"/>
          <w:color w:val="auto"/>
          <w:sz w:val="24"/>
          <w:highlight w:val="none"/>
        </w:rPr>
      </w:pPr>
    </w:p>
    <w:p>
      <w:pPr>
        <w:adjustRightInd w:val="0"/>
        <w:snapToGrid w:val="0"/>
        <w:spacing w:line="360" w:lineRule="auto"/>
        <w:ind w:firstLine="480" w:firstLineChars="200"/>
        <w:rPr>
          <w:rFonts w:hint="eastAsia" w:ascii="宋体" w:hAnsi="宋体" w:eastAsia="宋体" w:cs="宋体"/>
          <w:color w:val="auto"/>
          <w:sz w:val="24"/>
          <w:highlight w:val="none"/>
        </w:rPr>
      </w:pPr>
    </w:p>
    <w:p>
      <w:pPr>
        <w:adjustRightInd w:val="0"/>
        <w:snapToGrid w:val="0"/>
        <w:spacing w:line="360" w:lineRule="auto"/>
        <w:ind w:firstLine="480" w:firstLineChars="200"/>
        <w:rPr>
          <w:rFonts w:hint="eastAsia" w:ascii="宋体" w:hAnsi="宋体" w:eastAsia="宋体" w:cs="宋体"/>
          <w:color w:val="auto"/>
          <w:sz w:val="24"/>
          <w:highlight w:val="none"/>
        </w:rPr>
      </w:pPr>
    </w:p>
    <w:p>
      <w:pPr>
        <w:adjustRightInd w:val="0"/>
        <w:snapToGrid w:val="0"/>
        <w:spacing w:line="360" w:lineRule="auto"/>
        <w:ind w:firstLine="480" w:firstLineChars="200"/>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49"/>
        <w:spacing w:line="240" w:lineRule="auto"/>
        <w:jc w:val="center"/>
        <w:rPr>
          <w:rFonts w:hint="eastAsia" w:ascii="宋体" w:hAnsi="宋体" w:eastAsia="宋体" w:cs="宋体"/>
          <w:color w:val="auto"/>
          <w:highlight w:val="none"/>
        </w:rPr>
      </w:pPr>
      <w:bookmarkStart w:id="6" w:name="_Toc10725992"/>
      <w:r>
        <w:rPr>
          <w:rFonts w:hint="eastAsia" w:ascii="宋体" w:hAnsi="宋体" w:eastAsia="宋体" w:cs="宋体"/>
          <w:color w:val="auto"/>
          <w:highlight w:val="none"/>
        </w:rPr>
        <w:br w:type="page"/>
      </w:r>
      <w:r>
        <w:rPr>
          <w:rFonts w:hint="eastAsia" w:ascii="宋体" w:hAnsi="宋体" w:eastAsia="宋体" w:cs="宋体"/>
          <w:color w:val="auto"/>
          <w:highlight w:val="none"/>
        </w:rPr>
        <w:t>第二部分 投标人须知</w:t>
      </w:r>
      <w:bookmarkEnd w:id="3"/>
      <w:bookmarkEnd w:id="6"/>
    </w:p>
    <w:p>
      <w:pPr>
        <w:adjustRightInd w:val="0"/>
        <w:snapToGrid w:val="0"/>
        <w:spacing w:line="44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前附表</w:t>
      </w:r>
    </w:p>
    <w:tbl>
      <w:tblPr>
        <w:tblStyle w:val="37"/>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59"/>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名   目</w:t>
            </w:r>
          </w:p>
        </w:tc>
        <w:tc>
          <w:tcPr>
            <w:tcW w:w="6959" w:type="dxa"/>
            <w:tcBorders>
              <w:top w:val="single" w:color="auto" w:sz="4" w:space="0"/>
              <w:left w:val="single" w:color="auto" w:sz="4" w:space="0"/>
              <w:bottom w:val="single" w:color="auto" w:sz="4" w:space="0"/>
              <w:right w:val="single" w:color="auto" w:sz="12" w:space="0"/>
            </w:tcBorders>
            <w:vAlign w:val="center"/>
          </w:tcPr>
          <w:p>
            <w:pPr>
              <w:spacing w:line="44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c>
        <w:tc>
          <w:tcPr>
            <w:tcW w:w="6959"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重庆市荣昌区人民医院内科7楼静脉输液配置中心改造项目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项目编号</w:t>
            </w:r>
          </w:p>
        </w:tc>
        <w:tc>
          <w:tcPr>
            <w:tcW w:w="6959"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59"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投标文件递交后60天内有效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投标文件份数</w:t>
            </w:r>
          </w:p>
        </w:tc>
        <w:tc>
          <w:tcPr>
            <w:tcW w:w="6959"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440" w:lineRule="exact"/>
              <w:rPr>
                <w:rFonts w:hint="eastAsia" w:ascii="宋体" w:hAnsi="宋体" w:eastAsia="宋体" w:cs="宋体"/>
                <w:color w:val="auto"/>
                <w:sz w:val="28"/>
                <w:highlight w:val="none"/>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文件：正本一份、副本</w:t>
            </w:r>
            <w:r>
              <w:rPr>
                <w:rFonts w:hint="eastAsia" w:ascii="宋体" w:hAnsi="宋体" w:eastAsia="宋体" w:cs="宋体"/>
                <w:color w:val="auto"/>
                <w:sz w:val="24"/>
                <w:highlight w:val="none"/>
                <w:lang w:val="en-US" w:eastAsia="zh-CN"/>
              </w:rPr>
              <w:t>两</w:t>
            </w:r>
            <w:r>
              <w:rPr>
                <w:rFonts w:hint="eastAsia" w:ascii="宋体" w:hAnsi="宋体" w:eastAsia="宋体" w:cs="宋体"/>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评标方法</w:t>
            </w:r>
          </w:p>
        </w:tc>
        <w:tc>
          <w:tcPr>
            <w:tcW w:w="6959"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b/>
                <w:color w:val="auto"/>
                <w:sz w:val="24"/>
                <w:highlight w:val="none"/>
              </w:rPr>
            </w:pPr>
            <w:bookmarkStart w:id="7" w:name="ruleMainCatName"/>
            <w:r>
              <w:rPr>
                <w:rFonts w:hint="eastAsia" w:ascii="宋体" w:hAnsi="宋体" w:cs="宋体"/>
                <w:b/>
                <w:color w:val="auto"/>
                <w:sz w:val="24"/>
                <w:highlight w:val="none"/>
                <w:lang w:val="en-US" w:eastAsia="zh-CN"/>
              </w:rPr>
              <w:t>最低价中标</w:t>
            </w:r>
            <w:r>
              <w:rPr>
                <w:rFonts w:hint="eastAsia" w:ascii="宋体" w:hAnsi="宋体" w:eastAsia="宋体" w:cs="宋体"/>
                <w:b/>
                <w:color w:val="auto"/>
                <w:sz w:val="24"/>
                <w:highlight w:val="none"/>
              </w:rPr>
              <w:t>法</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718" w:type="dxa"/>
            <w:gridSpan w:val="2"/>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1）本项目将在开评标过程中现场不公布排名；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718" w:type="dxa"/>
            <w:gridSpan w:val="2"/>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 本项目预算金额</w:t>
            </w:r>
            <w:r>
              <w:rPr>
                <w:rFonts w:hint="eastAsia" w:ascii="宋体" w:hAnsi="宋体" w:cs="宋体"/>
                <w:b/>
                <w:color w:val="auto"/>
                <w:sz w:val="24"/>
                <w:szCs w:val="22"/>
                <w:highlight w:val="none"/>
                <w:lang w:val="en-US" w:eastAsia="zh-CN"/>
              </w:rPr>
              <w:t>243043.27</w:t>
            </w:r>
            <w:r>
              <w:rPr>
                <w:rFonts w:hint="eastAsia" w:ascii="宋体" w:hAnsi="宋体" w:eastAsia="宋体" w:cs="宋体"/>
                <w:b/>
                <w:color w:val="auto"/>
                <w:sz w:val="24"/>
                <w:szCs w:val="22"/>
                <w:highlight w:val="none"/>
              </w:rPr>
              <w:t>元。</w:t>
            </w:r>
          </w:p>
          <w:p>
            <w:pPr>
              <w:spacing w:line="440" w:lineRule="exact"/>
              <w:rPr>
                <w:rFonts w:hint="eastAsia" w:ascii="宋体" w:hAnsi="宋体" w:eastAsia="宋体" w:cs="宋体"/>
                <w:color w:val="auto"/>
                <w:sz w:val="24"/>
                <w:szCs w:val="20"/>
                <w:highlight w:val="none"/>
              </w:rPr>
            </w:pPr>
            <w:r>
              <w:rPr>
                <w:rFonts w:hint="eastAsia" w:ascii="宋体" w:hAnsi="宋体" w:eastAsia="宋体" w:cs="宋体"/>
                <w:b/>
                <w:color w:val="auto"/>
                <w:sz w:val="24"/>
                <w:szCs w:val="22"/>
                <w:highlight w:val="none"/>
              </w:rPr>
              <w:t>2）本项目投标报价不得</w:t>
            </w:r>
            <w:r>
              <w:rPr>
                <w:rFonts w:hint="eastAsia" w:ascii="宋体" w:hAnsi="宋体" w:eastAsia="宋体" w:cs="宋体"/>
                <w:b/>
                <w:color w:val="auto"/>
                <w:sz w:val="24"/>
                <w:szCs w:val="22"/>
                <w:highlight w:val="none"/>
                <w:lang w:eastAsia="zh-CN"/>
              </w:rPr>
              <w:t>高</w:t>
            </w:r>
            <w:r>
              <w:rPr>
                <w:rFonts w:hint="eastAsia" w:ascii="宋体" w:hAnsi="宋体" w:eastAsia="宋体" w:cs="宋体"/>
                <w:b/>
                <w:color w:val="auto"/>
                <w:sz w:val="24"/>
                <w:szCs w:val="22"/>
                <w:highlight w:val="none"/>
              </w:rPr>
              <w:t>于</w:t>
            </w:r>
            <w:r>
              <w:rPr>
                <w:rFonts w:hint="eastAsia" w:ascii="宋体" w:hAnsi="宋体" w:eastAsia="宋体" w:cs="宋体"/>
                <w:b/>
                <w:color w:val="auto"/>
                <w:sz w:val="24"/>
                <w:szCs w:val="22"/>
                <w:highlight w:val="none"/>
                <w:lang w:eastAsia="zh-CN"/>
              </w:rPr>
              <w:t>最高限价</w:t>
            </w:r>
            <w:r>
              <w:rPr>
                <w:rFonts w:hint="eastAsia" w:ascii="宋体" w:hAnsi="宋体" w:eastAsia="宋体" w:cs="宋体"/>
                <w:b/>
                <w:color w:val="auto"/>
                <w:sz w:val="24"/>
                <w:szCs w:val="22"/>
                <w:highlight w:val="none"/>
              </w:rPr>
              <w:t>（预算金额），否则视为投标无效。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718" w:type="dxa"/>
            <w:gridSpan w:val="2"/>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本项目由投标人自行现场实地踏勘：</w:t>
            </w:r>
          </w:p>
          <w:p>
            <w:pPr>
              <w:spacing w:line="440" w:lineRule="exact"/>
              <w:rPr>
                <w:rFonts w:hint="eastAsia" w:ascii="宋体" w:hAnsi="宋体" w:eastAsia="宋体" w:cs="宋体"/>
                <w:b/>
                <w:color w:val="auto"/>
                <w:sz w:val="24"/>
                <w:szCs w:val="22"/>
                <w:highlight w:val="none"/>
              </w:rPr>
            </w:pPr>
            <w:r>
              <w:rPr>
                <w:rFonts w:hint="eastAsia" w:ascii="宋体" w:hAnsi="宋体" w:eastAsia="宋体" w:cs="宋体"/>
                <w:b/>
                <w:color w:val="auto"/>
                <w:sz w:val="24"/>
                <w:szCs w:val="20"/>
                <w:highlight w:val="none"/>
              </w:rPr>
              <w:t>投标人应通过对现场及周围环境调查，充分了解本项目实际情况，任何因忽视或误解实地情况而导致的费用增加、索赔等由投标人自行负责；各投标人现场踏勘，费用自理。</w:t>
            </w:r>
          </w:p>
        </w:tc>
      </w:tr>
    </w:tbl>
    <w:p>
      <w:pPr>
        <w:adjustRightInd w:val="0"/>
        <w:snapToGrid w:val="0"/>
        <w:spacing w:line="44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br w:type="page"/>
      </w:r>
      <w:r>
        <w:rPr>
          <w:rFonts w:hint="eastAsia" w:ascii="宋体" w:hAnsi="宋体" w:eastAsia="宋体" w:cs="宋体"/>
          <w:b/>
          <w:bCs/>
          <w:color w:val="auto"/>
          <w:sz w:val="24"/>
          <w:highlight w:val="none"/>
        </w:rPr>
        <w:t>第一节   投标人须知之通用条款</w:t>
      </w:r>
    </w:p>
    <w:p>
      <w:pPr>
        <w:adjustRightInd w:val="0"/>
        <w:snapToGrid w:val="0"/>
        <w:spacing w:line="440" w:lineRule="exact"/>
        <w:jc w:val="center"/>
        <w:rPr>
          <w:rFonts w:hint="eastAsia" w:ascii="宋体" w:hAnsi="宋体" w:eastAsia="宋体" w:cs="宋体"/>
          <w:b/>
          <w:bCs/>
          <w:color w:val="auto"/>
          <w:sz w:val="24"/>
          <w:highlight w:val="none"/>
        </w:rPr>
      </w:pPr>
    </w:p>
    <w:p>
      <w:pPr>
        <w:adjustRightInd w:val="0"/>
        <w:snapToGrid w:val="0"/>
        <w:spacing w:line="44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一、总则</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适用于本项目的招标、投标、评标、定标、验收、合同履约、付款等行为。</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2.1、“招标采购单位”系指组织本次招标的项目采购人。</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2.2、“投标人”系指向招标采购单位递交投标文件的单位。</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2.3、“书面形式”包括信函、传真、电报等。</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3、采购方式：</w:t>
      </w:r>
      <w:r>
        <w:rPr>
          <w:rFonts w:hint="eastAsia" w:ascii="宋体" w:hAnsi="宋体" w:cs="宋体"/>
          <w:color w:val="auto"/>
          <w:sz w:val="24"/>
          <w:highlight w:val="none"/>
          <w:lang w:eastAsia="zh-CN"/>
        </w:rPr>
        <w:t>竞争性比选</w:t>
      </w:r>
      <w:r>
        <w:rPr>
          <w:rFonts w:hint="eastAsia" w:ascii="宋体" w:hAnsi="宋体" w:eastAsia="宋体" w:cs="宋体"/>
          <w:color w:val="auto"/>
          <w:sz w:val="24"/>
          <w:highlight w:val="none"/>
        </w:rPr>
        <w:t>。</w:t>
      </w:r>
    </w:p>
    <w:p>
      <w:pPr>
        <w:spacing w:line="360" w:lineRule="auto"/>
        <w:ind w:left="723" w:hanging="723" w:hanging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4、投标委托：投标人代表</w:t>
      </w:r>
      <w:r>
        <w:rPr>
          <w:rFonts w:hint="eastAsia" w:ascii="宋体" w:hAnsi="宋体" w:eastAsia="宋体" w:cs="宋体"/>
          <w:b/>
          <w:color w:val="auto"/>
          <w:sz w:val="24"/>
          <w:highlight w:val="none"/>
          <w:lang w:val="en-US" w:eastAsia="zh-CN"/>
        </w:rPr>
        <w:t>参与投标时</w:t>
      </w:r>
      <w:r>
        <w:rPr>
          <w:rFonts w:hint="eastAsia" w:ascii="宋体" w:hAnsi="宋体" w:eastAsia="宋体" w:cs="宋体"/>
          <w:b/>
          <w:color w:val="auto"/>
          <w:kern w:val="0"/>
          <w:sz w:val="24"/>
          <w:highlight w:val="none"/>
        </w:rPr>
        <w:t>，</w:t>
      </w:r>
      <w:r>
        <w:rPr>
          <w:rFonts w:hint="eastAsia" w:ascii="宋体" w:hAnsi="宋体" w:eastAsia="宋体" w:cs="宋体"/>
          <w:b/>
          <w:color w:val="auto"/>
          <w:sz w:val="24"/>
          <w:highlight w:val="none"/>
        </w:rPr>
        <w:t>请携带本人有效身份证件。如投标人代表不是法定代表人，须有法定代表人出具的授权委托书。授权委托书必须按照“第五部分投标文件格式”填写，如有不符授权无效，可能会导致投标无效。</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5、投标费用：</w:t>
      </w:r>
      <w:r>
        <w:rPr>
          <w:rFonts w:hint="eastAsia" w:ascii="宋体" w:hAnsi="宋体" w:eastAsia="宋体" w:cs="宋体"/>
          <w:color w:val="auto"/>
          <w:sz w:val="24"/>
          <w:highlight w:val="none"/>
        </w:rPr>
        <w:t>投标人需自行承担涉及投标的一切费用。</w:t>
      </w:r>
    </w:p>
    <w:p>
      <w:pPr>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6、特别说明：</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6.1、投标人应仔细阅读</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的所有内容，按照</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的要求提交投标文件，并对所提供的全部资料的真实性承担法律责任。</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6.2、单位负责人为同一人或者存在直接控股、管理关系的不同供应商，不得参加同一合同项下的采购活动。</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6.4、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eastAsia="宋体" w:cs="宋体"/>
          <w:color w:val="auto"/>
          <w:sz w:val="24"/>
          <w:highlight w:val="none"/>
          <w:lang w:val="zh-CN"/>
        </w:rPr>
        <w:t>供应商</w:t>
      </w:r>
      <w:r>
        <w:rPr>
          <w:rFonts w:hint="eastAsia" w:ascii="宋体" w:hAnsi="宋体" w:eastAsia="宋体" w:cs="宋体"/>
          <w:color w:val="auto"/>
          <w:sz w:val="24"/>
          <w:highlight w:val="none"/>
        </w:rPr>
        <w:t>应承担相应后果，</w:t>
      </w:r>
      <w:r>
        <w:rPr>
          <w:rFonts w:hint="eastAsia" w:ascii="宋体" w:hAnsi="宋体" w:eastAsia="宋体" w:cs="宋体"/>
          <w:color w:val="auto"/>
          <w:sz w:val="24"/>
          <w:highlight w:val="none"/>
          <w:lang w:val="zh-CN"/>
        </w:rPr>
        <w:t>并负责赔偿。</w:t>
      </w:r>
      <w:r>
        <w:rPr>
          <w:rFonts w:hint="eastAsia" w:ascii="宋体" w:hAnsi="宋体" w:eastAsia="宋体" w:cs="宋体"/>
          <w:color w:val="auto"/>
          <w:sz w:val="24"/>
          <w:highlight w:val="none"/>
        </w:rPr>
        <w:t>供应商为执行本项目合同而提供的技术资料等归采购人所有。</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6.5、本</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pPr>
        <w:adjustRightInd w:val="0"/>
        <w:snapToGrid w:val="0"/>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二、</w:t>
      </w:r>
      <w:r>
        <w:rPr>
          <w:rFonts w:hint="eastAsia" w:ascii="宋体" w:hAnsi="宋体" w:cs="宋体"/>
          <w:b/>
          <w:bCs/>
          <w:color w:val="auto"/>
          <w:sz w:val="24"/>
          <w:highlight w:val="none"/>
          <w:lang w:eastAsia="zh-CN"/>
        </w:rPr>
        <w:t>竞争性比选文件</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w:t>
      </w:r>
      <w:r>
        <w:rPr>
          <w:rFonts w:hint="eastAsia" w:ascii="宋体" w:hAnsi="宋体" w:cs="宋体"/>
          <w:b/>
          <w:color w:val="auto"/>
          <w:sz w:val="24"/>
          <w:highlight w:val="none"/>
          <w:lang w:eastAsia="zh-CN"/>
        </w:rPr>
        <w:t>竞争性比选文件</w:t>
      </w:r>
      <w:r>
        <w:rPr>
          <w:rFonts w:hint="eastAsia" w:ascii="宋体" w:hAnsi="宋体" w:eastAsia="宋体" w:cs="宋体"/>
          <w:b/>
          <w:color w:val="auto"/>
          <w:sz w:val="24"/>
          <w:highlight w:val="none"/>
        </w:rPr>
        <w:t>的澄清与修改</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w:t>
      </w:r>
      <w:r>
        <w:rPr>
          <w:rFonts w:hint="eastAsia" w:ascii="宋体" w:hAnsi="宋体" w:eastAsia="宋体" w:cs="宋体"/>
          <w:bCs/>
          <w:color w:val="auto"/>
          <w:sz w:val="24"/>
          <w:highlight w:val="none"/>
        </w:rPr>
        <w:t>投标人应认真阅读本</w:t>
      </w:r>
      <w:r>
        <w:rPr>
          <w:rFonts w:hint="eastAsia" w:ascii="宋体" w:hAnsi="宋体" w:cs="宋体"/>
          <w:bCs/>
          <w:color w:val="auto"/>
          <w:sz w:val="24"/>
          <w:highlight w:val="none"/>
          <w:lang w:eastAsia="zh-CN"/>
        </w:rPr>
        <w:t>竞争性比选文件</w:t>
      </w:r>
      <w:r>
        <w:rPr>
          <w:rFonts w:hint="eastAsia" w:ascii="宋体" w:hAnsi="宋体" w:eastAsia="宋体" w:cs="宋体"/>
          <w:bCs/>
          <w:color w:val="auto"/>
          <w:sz w:val="24"/>
          <w:highlight w:val="none"/>
        </w:rPr>
        <w:t>，发现其中有误或有不合理要求的，投标人必须以书面形式要求招标采购单位澄清</w:t>
      </w:r>
      <w:r>
        <w:rPr>
          <w:rFonts w:hint="eastAsia" w:ascii="宋体" w:hAnsi="宋体" w:eastAsia="宋体" w:cs="宋体"/>
          <w:color w:val="auto"/>
          <w:sz w:val="24"/>
          <w:highlight w:val="none"/>
        </w:rPr>
        <w:t>。招标采购单位对已发出的</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进行必要澄清、答复、修改或补充的，以更正公告形式通知所有报名的投标人。</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7.2、采购</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必须以更正公告形式答复投标人要求澄清的问题，并将不包含问题来源的答复书面通知所有前来报名的投标人。</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澄清、答复、修改、补充的内容为</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的组成部分。当</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与</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的答复、澄清、修改、补充通知就同一内容的表述不一致时，以最后发出的书面文件为准。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7.4、</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的澄清、答复、修改或补充都应该通过采购</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以法定形式发布，采购人不得擅自澄清、答复、修改或补充</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w:t>
      </w:r>
    </w:p>
    <w:p>
      <w:pPr>
        <w:adjustRightInd w:val="0"/>
        <w:snapToGrid w:val="0"/>
        <w:spacing w:line="360" w:lineRule="auto"/>
        <w:rPr>
          <w:rFonts w:hint="eastAsia" w:ascii="宋体" w:hAnsi="宋体" w:eastAsia="宋体" w:cs="宋体"/>
          <w:color w:val="auto"/>
          <w:sz w:val="24"/>
          <w:highlight w:val="none"/>
        </w:rPr>
      </w:pPr>
    </w:p>
    <w:p>
      <w:pPr>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三、投标文件的编制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8、投标文件的语言及计量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8.1、投标文件以及投标人与招标采购单位就有关投标事宜的所有来往函电，均应以中文汉语书写。除签名、盖章、专用名称等特殊情形外，以中文汉语以外的文字表述的投标文件视同未提供。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附在相关外文资料后面，否则外文资料不予认可。翻译的中文资料与外文资料不符的，均不予认可。翻译严重错误的，将视同提供虚假资料。</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8.3、投标计量单位，</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已有明确规定的，使用</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规定的计量单位；</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没有规定的，应采用中华人民共和国法定计量单位（货币单位：人民币元），否则视同未响应。</w:t>
      </w:r>
    </w:p>
    <w:p>
      <w:pPr>
        <w:pStyle w:val="17"/>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szCs w:val="24"/>
          <w:highlight w:val="none"/>
        </w:rPr>
        <w:t>4、投标文件中优惠条件事项不能包括采购项目本身所包括涉及的采购事项。投标人不能以“赠送、赠予”等任何名义提供货物和服务以规避</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的约束。</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9、投标文件组成详见“第二节   投标人须知之专用条款”中相关条款。</w:t>
      </w:r>
    </w:p>
    <w:p>
      <w:pPr>
        <w:pStyle w:val="5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10、 投标有效期</w:t>
      </w:r>
    </w:p>
    <w:p>
      <w:pPr>
        <w:pStyle w:val="5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10.1、投标文件递交后60天内有效。</w:t>
      </w:r>
    </w:p>
    <w:p>
      <w:pPr>
        <w:pStyle w:val="5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10.2、在原定投标有效期之前，如果出现特殊情况，采购</w:t>
      </w:r>
      <w:r>
        <w:rPr>
          <w:rFonts w:hint="eastAsia" w:ascii="宋体" w:hAnsi="宋体" w:cs="宋体"/>
          <w:color w:val="auto"/>
          <w:highlight w:val="none"/>
          <w:lang w:eastAsia="zh-CN"/>
        </w:rPr>
        <w:t>人</w:t>
      </w:r>
      <w:r>
        <w:rPr>
          <w:rFonts w:hint="eastAsia" w:ascii="宋体" w:hAnsi="宋体" w:eastAsia="宋体" w:cs="宋体"/>
          <w:color w:val="auto"/>
          <w:highlight w:val="none"/>
        </w:rPr>
        <w:t>可以以书面形式通知投标人延长投标有效期。</w:t>
      </w:r>
    </w:p>
    <w:p>
      <w:pPr>
        <w:pStyle w:val="59"/>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11、 投标保证金</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本项目不采用。</w:t>
      </w:r>
    </w:p>
    <w:p>
      <w:pPr>
        <w:pStyle w:val="59"/>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12、投标文件的编制</w:t>
      </w:r>
    </w:p>
    <w:p>
      <w:pPr>
        <w:pStyle w:val="59"/>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12.1、投标文件标识不清、编写不完整、编排混乱导致投标文件被误拆、误读、漏读或者查找不到相关内容的，责任由投标人自行承担。</w:t>
      </w:r>
    </w:p>
    <w:p>
      <w:pPr>
        <w:pStyle w:val="5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12.2、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pPr>
        <w:pStyle w:val="5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12.3、投标文件提倡采用A4幅面双面打印，并按顺序统一编目编码装订成册。</w:t>
      </w:r>
    </w:p>
    <w:p>
      <w:pPr>
        <w:pStyle w:val="59"/>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13、投标文件的签署和份数</w:t>
      </w:r>
    </w:p>
    <w:p>
      <w:pPr>
        <w:pStyle w:val="5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13.1、投标人应按</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文件正本一份，副本各</w:t>
      </w:r>
      <w:r>
        <w:rPr>
          <w:rFonts w:hint="eastAsia" w:ascii="宋体" w:hAnsi="宋体" w:eastAsia="宋体" w:cs="宋体"/>
          <w:color w:val="auto"/>
          <w:highlight w:val="none"/>
          <w:lang w:val="en-US" w:eastAsia="zh-CN"/>
        </w:rPr>
        <w:t>两</w:t>
      </w:r>
      <w:r>
        <w:rPr>
          <w:rFonts w:hint="eastAsia" w:ascii="宋体" w:hAnsi="宋体" w:eastAsia="宋体" w:cs="宋体"/>
          <w:color w:val="auto"/>
          <w:highlight w:val="none"/>
        </w:rPr>
        <w:t>份编制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装订成册。投标文件封面上应注明“</w:t>
      </w:r>
      <w:r>
        <w:rPr>
          <w:rFonts w:hint="eastAsia" w:ascii="宋体" w:hAnsi="宋体" w:eastAsia="宋体" w:cs="宋体"/>
          <w:color w:val="auto"/>
          <w:highlight w:val="yellow"/>
        </w:rPr>
        <w:t>正本/副本、项目名称、项目编号</w:t>
      </w:r>
      <w:r>
        <w:rPr>
          <w:rFonts w:hint="eastAsia" w:ascii="宋体" w:hAnsi="宋体" w:eastAsia="宋体" w:cs="宋体"/>
          <w:color w:val="auto"/>
          <w:highlight w:val="none"/>
        </w:rPr>
        <w:t>”等字样，同时必须加盖单位公章。一旦正本和副本有差异，以正本为准。</w:t>
      </w:r>
    </w:p>
    <w:p>
      <w:pPr>
        <w:pStyle w:val="5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13.2、投标文件的正本需打印或用不褪色的墨水填写，投标文件正本除 “第二部分 投标人须知”中规定的可提供复印件外均提供原件。副本为正本的复印件。</w:t>
      </w:r>
    </w:p>
    <w:p>
      <w:pPr>
        <w:adjustRightInd w:val="0"/>
        <w:snapToGrid w:val="0"/>
        <w:spacing w:line="360" w:lineRule="auto"/>
        <w:ind w:firstLine="48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4"/>
          <w:szCs w:val="22"/>
          <w:highlight w:val="none"/>
        </w:rPr>
        <w:t>13.3、投标文件须由投标人在规定位置加盖单位公章、法定代表人或授权代表签署，投标人应写全称。</w:t>
      </w:r>
    </w:p>
    <w:p>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24"/>
          <w:highlight w:val="none"/>
        </w:rPr>
        <w:t>四、 投标文件的递交</w:t>
      </w:r>
    </w:p>
    <w:p>
      <w:pPr>
        <w:pStyle w:val="59"/>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14、投标文件的包装和递交</w:t>
      </w:r>
    </w:p>
    <w:p>
      <w:pPr>
        <w:pStyle w:val="5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14.1、投标文件须密封包装并加盖投标人公章</w:t>
      </w:r>
      <w:r>
        <w:rPr>
          <w:rFonts w:hint="eastAsia" w:ascii="宋体" w:hAnsi="宋体" w:eastAsia="宋体" w:cs="宋体"/>
          <w:b/>
          <w:color w:val="auto"/>
          <w:highlight w:val="none"/>
        </w:rPr>
        <w:t>。</w:t>
      </w:r>
    </w:p>
    <w:p>
      <w:pPr>
        <w:pStyle w:val="5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14.2、投标文件外层包装封面上应注明“项目名称、项目编号、投标人名称及开标时启封”等字样，并加盖投标人公章。可参考“第五部分 投标文件格式”。</w:t>
      </w:r>
    </w:p>
    <w:p>
      <w:pPr>
        <w:pStyle w:val="5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14.3、招标采购单位将拒绝未通过报名的投标人的投标文件。</w:t>
      </w:r>
    </w:p>
    <w:p>
      <w:pPr>
        <w:pStyle w:val="5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14.4、未按规定密封或未按规定标记的投标文件，一经发现将被拒绝，由此造成投标文件被误投或提前拆封的风险由投标人承担。</w:t>
      </w:r>
    </w:p>
    <w:p>
      <w:pPr>
        <w:pStyle w:val="5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14.5、投标人在投标截止时间前将投标文件送至招标采购单位指定地点。</w:t>
      </w:r>
    </w:p>
    <w:p>
      <w:pPr>
        <w:pStyle w:val="5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14.6、投标文件一经拆封不予退回</w:t>
      </w:r>
      <w:r>
        <w:rPr>
          <w:rFonts w:hint="eastAsia" w:ascii="宋体" w:hAnsi="宋体" w:eastAsia="宋体" w:cs="宋体"/>
          <w:bCs/>
          <w:color w:val="auto"/>
          <w:highlight w:val="none"/>
        </w:rPr>
        <w:t>（法律法规另有规定的除外）</w:t>
      </w:r>
      <w:r>
        <w:rPr>
          <w:rFonts w:hint="eastAsia" w:ascii="宋体" w:hAnsi="宋体" w:eastAsia="宋体" w:cs="宋体"/>
          <w:color w:val="auto"/>
          <w:highlight w:val="none"/>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15、递交投标文件的截止时间</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15.1、所有投标文件必须按</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规定的投标截止时间之前送至招标采购单位指定地点。</w:t>
      </w:r>
    </w:p>
    <w:p>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15.2、招标采购单位将拒绝在投标截止时间后递交的投标文件。</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16、投标文件的修改和撤回</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投标人在投标截止时间之前，经开标工作人员确认后，可以对已提交的投标文件进行修改或撤回。修改后重新递交的投标文件应当按本</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的要求签署、盖章和密封。投标截止时间后，投标人不得撤回、修改投标文件。</w:t>
      </w:r>
    </w:p>
    <w:p>
      <w:pPr>
        <w:adjustRightInd w:val="0"/>
        <w:snapToGrid w:val="0"/>
        <w:spacing w:line="360" w:lineRule="auto"/>
        <w:ind w:firstLine="480" w:firstLineChars="200"/>
        <w:rPr>
          <w:rFonts w:hint="eastAsia" w:ascii="宋体" w:hAnsi="宋体" w:eastAsia="宋体" w:cs="宋体"/>
          <w:color w:val="auto"/>
          <w:sz w:val="24"/>
          <w:highlight w:val="none"/>
        </w:rPr>
      </w:pPr>
    </w:p>
    <w:p>
      <w:pPr>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 开标</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17、开标准备</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将在规定的时间和地点进行开标，投标人的法定代表人或其授权代表应准时参加开标会议并签到，主动出示本人的有效身份证件由采购</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验证确认，否则视同未派代表参加开标大会，事后不得对采购相关人员、开标过程和开标结果提出异议。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18、开标程序：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18.1、开标时，由投标人代表检查各投标文件的密封情况，确认无误后，工作人员当众拆封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文件并清点投标文件正本、副本数量，符合</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要求的送评标室评审；不符合要求的，视其投标无效，并由投标人代表签字确认；</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18.2开标会结束。</w:t>
      </w:r>
    </w:p>
    <w:p>
      <w:pPr>
        <w:pStyle w:val="59"/>
        <w:spacing w:before="0"/>
        <w:ind w:firstLine="482"/>
        <w:jc w:val="center"/>
        <w:rPr>
          <w:rFonts w:hint="eastAsia" w:ascii="宋体" w:hAnsi="宋体" w:eastAsia="宋体" w:cs="宋体"/>
          <w:b/>
          <w:color w:val="auto"/>
          <w:sz w:val="32"/>
          <w:highlight w:val="none"/>
        </w:rPr>
      </w:pPr>
      <w:r>
        <w:rPr>
          <w:rFonts w:hint="eastAsia" w:ascii="宋体" w:hAnsi="宋体" w:eastAsia="宋体" w:cs="宋体"/>
          <w:b/>
          <w:bCs/>
          <w:color w:val="auto"/>
          <w:szCs w:val="24"/>
          <w:highlight w:val="none"/>
        </w:rPr>
        <w:t>六、资格审查</w:t>
      </w:r>
    </w:p>
    <w:p>
      <w:pPr>
        <w:pStyle w:val="5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19、资格审查</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19.1、开标结束后，采购人或采购</w:t>
      </w:r>
      <w:r>
        <w:rPr>
          <w:rFonts w:hint="eastAsia"/>
          <w:color w:val="auto"/>
          <w:sz w:val="24"/>
          <w:szCs w:val="24"/>
          <w:lang w:eastAsia="zh-CN"/>
        </w:rPr>
        <w:t>人</w:t>
      </w:r>
      <w:r>
        <w:rPr>
          <w:rFonts w:hint="eastAsia"/>
          <w:color w:val="auto"/>
          <w:sz w:val="24"/>
          <w:szCs w:val="24"/>
        </w:rPr>
        <w:t>依法对投标人的资格进行审查。</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color w:val="auto"/>
          <w:sz w:val="24"/>
          <w:szCs w:val="24"/>
        </w:rPr>
      </w:pPr>
      <w:r>
        <w:rPr>
          <w:rFonts w:hint="eastAsia"/>
          <w:color w:val="auto"/>
          <w:sz w:val="24"/>
          <w:szCs w:val="24"/>
        </w:rPr>
        <w:t>19.2、投标人未按照</w:t>
      </w:r>
      <w:r>
        <w:rPr>
          <w:rFonts w:hint="eastAsia"/>
          <w:color w:val="auto"/>
          <w:sz w:val="24"/>
          <w:szCs w:val="24"/>
          <w:lang w:eastAsia="zh-CN"/>
        </w:rPr>
        <w:t>竞争性比选文件</w:t>
      </w:r>
      <w:r>
        <w:rPr>
          <w:rFonts w:hint="eastAsia"/>
          <w:color w:val="auto"/>
          <w:sz w:val="24"/>
          <w:szCs w:val="24"/>
        </w:rPr>
        <w:t>要求提供资格条件相应的有效资格证明材料的，视为投标人不具备</w:t>
      </w:r>
      <w:r>
        <w:rPr>
          <w:rFonts w:hint="eastAsia"/>
          <w:color w:val="auto"/>
          <w:sz w:val="24"/>
          <w:szCs w:val="24"/>
          <w:lang w:eastAsia="zh-CN"/>
        </w:rPr>
        <w:t>竞争性比选文件</w:t>
      </w:r>
      <w:r>
        <w:rPr>
          <w:rFonts w:hint="eastAsia"/>
          <w:color w:val="auto"/>
          <w:sz w:val="24"/>
          <w:szCs w:val="24"/>
        </w:rPr>
        <w:t>中规定的资格要求，其投标无效。</w:t>
      </w:r>
    </w:p>
    <w:p>
      <w:pPr>
        <w:adjustRightInd w:val="0"/>
        <w:snapToGrid w:val="0"/>
        <w:spacing w:line="360" w:lineRule="auto"/>
        <w:jc w:val="center"/>
        <w:rPr>
          <w:rFonts w:hint="eastAsia" w:ascii="宋体" w:hAnsi="宋体" w:eastAsia="宋体" w:cs="宋体"/>
          <w:b/>
          <w:bCs/>
          <w:color w:val="auto"/>
          <w:sz w:val="24"/>
          <w:highlight w:val="none"/>
        </w:rPr>
      </w:pPr>
    </w:p>
    <w:p>
      <w:pPr>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七、评标</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20、组建评标委员会</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项目评标委员会根据相关规定由采购人代表和有关技术、经济等方面的专家组成，成员人数应当为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w:t>
      </w:r>
      <w:r>
        <w:rPr>
          <w:rFonts w:hint="eastAsia" w:ascii="宋体" w:hAnsi="宋体" w:eastAsia="宋体" w:cs="宋体"/>
          <w:color w:val="auto"/>
          <w:sz w:val="24"/>
          <w:highlight w:val="none"/>
        </w:rPr>
        <w:t>及</w:t>
      </w:r>
      <w:r>
        <w:rPr>
          <w:rFonts w:hint="eastAsia" w:ascii="宋体" w:hAnsi="宋体" w:eastAsia="宋体" w:cs="宋体"/>
          <w:color w:val="auto"/>
          <w:sz w:val="24"/>
          <w:szCs w:val="24"/>
          <w:highlight w:val="none"/>
        </w:rPr>
        <w:t>以上单数。</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21、评标的方式</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本项目采用不公开方式评标，评标的依据为</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和投标文件。</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22、评标程序</w:t>
      </w:r>
    </w:p>
    <w:p>
      <w:pPr>
        <w:pStyle w:val="1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22.1、本项目评标一般将按以下程序进行：投标文件符合性审查、澄清有关问题、投标文件的比较与评审、推荐中标投标人和编写评标报告等。</w:t>
      </w:r>
    </w:p>
    <w:p>
      <w:pPr>
        <w:pStyle w:val="1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22.2、投标文件符合性审查：依据</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的规定，从投标文件的有效性、完整性和对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的响应程度进行审查，以确定是否对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的实质性要求作出响应。符合性审查不合格的投标人，投标文件初审结论不合格。投标文件初审结论合格的投标人进入评标后续程序。</w:t>
      </w:r>
    </w:p>
    <w:p>
      <w:pPr>
        <w:pStyle w:val="1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22.3、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未到场或者拒绝澄清或者澄清的内容改变了投标文件的实质性内容的，评标委员会有权对该投标文件作出不利于投标人的评判。</w:t>
      </w:r>
    </w:p>
    <w:p>
      <w:pPr>
        <w:pStyle w:val="1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22.4、比较与评审。按</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中规定的评标方法和标准，对资格性检查和符合性审查合格的投标文件进行商务、技术、价格比较和评审。</w:t>
      </w:r>
    </w:p>
    <w:p>
      <w:pPr>
        <w:pStyle w:val="1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22.5、推荐中标候选人。根据评标情况，推荐中标候选人。</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23、错误修正</w:t>
      </w:r>
    </w:p>
    <w:p>
      <w:pPr>
        <w:spacing w:line="360" w:lineRule="auto"/>
        <w:ind w:firstLine="36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投标文件报价出现前后不一致的，按照下列规定修正：</w:t>
      </w:r>
    </w:p>
    <w:p>
      <w:pPr>
        <w:spacing w:line="360" w:lineRule="auto"/>
        <w:ind w:firstLine="36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(1)投标文件中开标一览表(报价表)内容与投标文件中相应内容不一致的，以开标一览表(报价表)为准;</w:t>
      </w:r>
    </w:p>
    <w:p>
      <w:pPr>
        <w:spacing w:line="360" w:lineRule="auto"/>
        <w:ind w:firstLine="36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(2)大写金额和小写金额不一致的，以大写金额为准;</w:t>
      </w:r>
    </w:p>
    <w:p>
      <w:pPr>
        <w:spacing w:line="360" w:lineRule="auto"/>
        <w:ind w:firstLine="36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(3)单价金额小数点或者百分比有明显错位的，以开标一览表的总价为准，并修改单价;</w:t>
      </w:r>
    </w:p>
    <w:p>
      <w:pPr>
        <w:spacing w:line="360" w:lineRule="auto"/>
        <w:ind w:firstLine="36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(4)总价金额与按单价汇总金额不一致的，以单价金额计算结果为准。</w:t>
      </w:r>
    </w:p>
    <w:p>
      <w:pPr>
        <w:spacing w:line="360" w:lineRule="auto"/>
        <w:ind w:firstLine="36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同时出现两种以上不一致的，按照前款规定的顺序修正。修正后的报价按规定经投标人确认后产生约束力，投标人不确认的，其投标无效。</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24、评标方法和评标原则</w:t>
      </w:r>
    </w:p>
    <w:p>
      <w:pPr>
        <w:spacing w:line="360" w:lineRule="auto"/>
        <w:ind w:firstLine="360"/>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24.1、</w:t>
      </w:r>
      <w:r>
        <w:rPr>
          <w:rFonts w:hint="eastAsia" w:ascii="宋体" w:hAnsi="宋体" w:cs="宋体"/>
          <w:b/>
          <w:color w:val="auto"/>
          <w:sz w:val="24"/>
          <w:highlight w:val="none"/>
          <w:lang w:val="en-US" w:eastAsia="zh-CN"/>
        </w:rPr>
        <w:t>低价评标法</w:t>
      </w:r>
      <w:r>
        <w:rPr>
          <w:rFonts w:hint="eastAsia" w:ascii="宋体" w:hAnsi="宋体" w:eastAsia="宋体" w:cs="宋体"/>
          <w:b/>
          <w:color w:val="auto"/>
          <w:sz w:val="24"/>
          <w:highlight w:val="none"/>
        </w:rPr>
        <w:t>：</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小组将依照</w:t>
      </w:r>
      <w:r>
        <w:rPr>
          <w:rFonts w:hint="eastAsia" w:ascii="宋体" w:hAnsi="宋体" w:cs="宋体"/>
          <w:color w:val="auto"/>
          <w:sz w:val="24"/>
          <w:szCs w:val="24"/>
          <w:highlight w:val="none"/>
          <w:lang w:val="en-US" w:eastAsia="zh-CN"/>
        </w:rPr>
        <w:t>竞争性比选文件</w:t>
      </w:r>
      <w:r>
        <w:rPr>
          <w:rFonts w:hint="eastAsia" w:ascii="宋体" w:hAnsi="宋体" w:eastAsia="宋体" w:cs="宋体"/>
          <w:color w:val="auto"/>
          <w:sz w:val="24"/>
          <w:szCs w:val="24"/>
          <w:highlight w:val="none"/>
        </w:rPr>
        <w:t>相关规定对技术（质量）和服务均能满足</w:t>
      </w:r>
      <w:r>
        <w:rPr>
          <w:rFonts w:hint="eastAsia" w:ascii="宋体" w:hAnsi="宋体" w:eastAsia="宋体" w:cs="宋体"/>
          <w:color w:val="auto"/>
          <w:sz w:val="24"/>
          <w:szCs w:val="24"/>
          <w:highlight w:val="none"/>
          <w:lang w:val="en-US" w:eastAsia="zh-CN"/>
        </w:rPr>
        <w:t>招标要求</w:t>
      </w:r>
      <w:r>
        <w:rPr>
          <w:rFonts w:hint="eastAsia" w:ascii="宋体" w:hAnsi="宋体" w:eastAsia="宋体" w:cs="宋体"/>
          <w:color w:val="auto"/>
          <w:sz w:val="24"/>
          <w:szCs w:val="24"/>
          <w:highlight w:val="none"/>
        </w:rPr>
        <w:t>实质性响应要求的供应商所提交的最后报价进行政策性扣减，并依据扣减后的价格按照由低到高的顺序提出3名以上成交候选人，并编写评审报告。</w:t>
      </w:r>
    </w:p>
    <w:p>
      <w:pPr>
        <w:pStyle w:val="19"/>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注：政策性扣减方式</w:t>
      </w:r>
    </w:p>
    <w:p>
      <w:pPr>
        <w:pStyle w:val="19"/>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1.供应商为非联合体参与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的，对小微型企业给予</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%的扣除，以扣除后的报价参与评审。</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.监狱企业、残疾人福利性单位视同小型、微型企业。</w:t>
      </w:r>
    </w:p>
    <w:p>
      <w:pPr>
        <w:pStyle w:val="19"/>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（二）若供应商的最后报价经扣减后价格相同，按技术（质量）的优劣顺序排列；以上都相同的，按服务条款的优劣顺序排列。</w:t>
      </w:r>
    </w:p>
    <w:p>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24.2、评标原则：</w:t>
      </w:r>
      <w:r>
        <w:rPr>
          <w:rFonts w:hint="eastAsia" w:ascii="宋体" w:hAnsi="宋体" w:eastAsia="宋体" w:cs="宋体"/>
          <w:bCs/>
          <w:color w:val="auto"/>
          <w:sz w:val="24"/>
          <w:highlight w:val="none"/>
        </w:rPr>
        <w:t>评标委员会必须公平、公正、客观，不带任何倾向性；不得向外界透露任何与评标有关的内容；任何单位和个人不得干扰、影响评标的正常进行；评标委员会及有关工作人员不得私下与投标人接触。</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25、评标过程的监控</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本项目评标过程实行全程录音、录像监控，投标人在评标过程中所进行的试图影响评标结果的不公正活动，可能导致其投标无效。</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26、无效投标的情形</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26.1、资格性审查无效投标的情形</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（1）、被拒绝的投标文件；</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（2）、未通过报名的；</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（3）、投标文件份数不符合要求；</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（4）、资格证明文件不全，或者不符合</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 xml:space="preserve">标明的资格要求（参见招标公告之“五、合格投标人的资格要求”）；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26.2、符合性审查及其他无效投标的情形</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文件封面、开标一览表、投标响应函、授权委托书，任意一项未加盖单位公章；</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（2）、开标一览表或投标响应函无法定代表人（或授权代表）签字；</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（3）、提供虚假证明材料；</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（4）、投标文件中对于采购需求中的实质性内容的响应表述不清或不响应，评标委员会不能确认为有效；</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（5）、投标文件组成中带“▲”资料提供不全的；</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）、投标技术方案不明确或存在备选（替代）投标方案；</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）、未按照</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标明的币种报价；</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）、报价超出最高限价，或者超出采购预算金额，采购人不能支付；</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）、投标报价具有选择性；</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rPr>
        <w:t>）、报价文件之外其他投标文件中出现投标报价的（</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另有规定的除外）；</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）、投标人拒绝按</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规定的修正原则对投标文件进行修改的；</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）、投标人串通投标的；</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）、投标文件中承诺的投标有效期少于</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中载明的投标有效期的；</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）、投标文件含有采购人不能接受的附加条件的;</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）、不符合法律、法规等相关规定或投标文件有招标采购单位不能接受的附加条件；</w:t>
      </w:r>
    </w:p>
    <w:p>
      <w:pPr>
        <w:pStyle w:val="17"/>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）、根据</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 xml:space="preserve">、相关法律法规等要求，评标委员会认为应当作无效投标处理的其他情况。 </w:t>
      </w:r>
    </w:p>
    <w:p>
      <w:pPr>
        <w:pStyle w:val="14"/>
        <w:spacing w:line="360" w:lineRule="auto"/>
        <w:ind w:firstLine="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27、废标</w:t>
      </w:r>
    </w:p>
    <w:p>
      <w:pPr>
        <w:pStyle w:val="59"/>
        <w:keepNext w:val="0"/>
        <w:keepLines w:val="0"/>
        <w:pageBreakBefore w:val="0"/>
        <w:kinsoku/>
        <w:wordWrap/>
        <w:overflowPunct/>
        <w:topLinePunct w:val="0"/>
        <w:bidi w:val="0"/>
        <w:snapToGrid/>
        <w:spacing w:before="0" w:line="440" w:lineRule="exact"/>
        <w:ind w:firstLine="600" w:firstLineChars="25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根据规定，在招标采购中，出现下列情形之一的，应予废标：</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（一）符合专业条件的供应商或者对</w:t>
      </w:r>
      <w:r>
        <w:rPr>
          <w:rFonts w:hint="eastAsia" w:ascii="宋体" w:hAnsi="宋体" w:cs="宋体"/>
          <w:color w:val="auto"/>
          <w:kern w:val="0"/>
          <w:sz w:val="24"/>
          <w:highlight w:val="none"/>
          <w:lang w:eastAsia="zh-CN"/>
        </w:rPr>
        <w:t>竞争性比选文件</w:t>
      </w:r>
      <w:r>
        <w:rPr>
          <w:rFonts w:hint="eastAsia" w:ascii="宋体" w:hAnsi="宋体" w:eastAsia="宋体" w:cs="宋体"/>
          <w:color w:val="auto"/>
          <w:kern w:val="0"/>
          <w:sz w:val="24"/>
          <w:highlight w:val="none"/>
        </w:rPr>
        <w:t>作实质响应的供应商不足三家的；</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（二）出现影响采购公正的违法、违规行为的；</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（三）投标人的报价均超过了采购预算，采购人不能支付的；</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（四）因重大变故，采购任务取消的。</w:t>
      </w:r>
    </w:p>
    <w:p>
      <w:pPr>
        <w:keepNext w:val="0"/>
        <w:keepLines w:val="0"/>
        <w:pageBreakBefore w:val="0"/>
        <w:kinsoku/>
        <w:wordWrap/>
        <w:overflowPunct/>
        <w:topLinePunct w:val="0"/>
        <w:autoSpaceDE w:val="0"/>
        <w:autoSpaceDN w:val="0"/>
        <w:bidi w:val="0"/>
        <w:adjustRightInd w:val="0"/>
        <w:snapToGrid/>
        <w:spacing w:line="440" w:lineRule="exact"/>
        <w:ind w:firstLine="890" w:firstLineChars="371"/>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第一条款按照有关法律法规，除作为废标外可经批准后继续按原采购方式进行或采取其它采购方式。废标后，招标采购单位将就废标理由通知所有投标人。</w:t>
      </w:r>
    </w:p>
    <w:p>
      <w:pPr>
        <w:pStyle w:val="14"/>
        <w:spacing w:line="360" w:lineRule="auto"/>
        <w:ind w:firstLine="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28、评标内容的保密</w:t>
      </w:r>
    </w:p>
    <w:p>
      <w:pPr>
        <w:pStyle w:val="5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28.1、凡属于审查、澄清、评价和比较投标的所有资料，不应向投标人或与评标无关的其他人泄漏。</w:t>
      </w:r>
    </w:p>
    <w:p>
      <w:pPr>
        <w:pStyle w:val="5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28.2、在投标文件的审查、澄清、评价和比较以及确定中标单位过程中，投标人对评标委员会施加影响的违规行为，都将导致其不被推荐为中标候选人。</w:t>
      </w:r>
    </w:p>
    <w:p>
      <w:pPr>
        <w:pStyle w:val="59"/>
        <w:spacing w:before="0"/>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八、定标</w:t>
      </w:r>
    </w:p>
    <w:p>
      <w:pPr>
        <w:pStyle w:val="5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29、 </w:t>
      </w:r>
      <w:r>
        <w:rPr>
          <w:rFonts w:hint="eastAsia" w:ascii="宋体" w:hAnsi="宋体" w:eastAsia="宋体" w:cs="宋体"/>
          <w:b/>
          <w:color w:val="auto"/>
          <w:highlight w:val="none"/>
        </w:rPr>
        <w:t>推荐中标单位</w:t>
      </w:r>
    </w:p>
    <w:p>
      <w:pPr>
        <w:pageBreakBefore w:val="0"/>
        <w:widowControl w:val="0"/>
        <w:kinsoku/>
        <w:wordWrap/>
        <w:overflowPunct/>
        <w:topLinePunct w:val="0"/>
        <w:autoSpaceDE/>
        <w:autoSpaceDN/>
        <w:bidi w:val="0"/>
        <w:snapToGrid w:val="0"/>
        <w:spacing w:line="380" w:lineRule="exact"/>
        <w:ind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29.1、</w:t>
      </w:r>
      <w:r>
        <w:rPr>
          <w:rFonts w:hint="eastAsia" w:ascii="宋体" w:hAnsi="宋体" w:cs="宋体"/>
          <w:b/>
          <w:bCs/>
          <w:color w:val="auto"/>
          <w:szCs w:val="24"/>
          <w:highlight w:val="none"/>
          <w:lang w:val="en-US" w:eastAsia="zh-CN"/>
        </w:rPr>
        <w:t>最低价中标</w:t>
      </w:r>
      <w:r>
        <w:rPr>
          <w:rFonts w:hint="eastAsia" w:ascii="宋体" w:hAnsi="宋体" w:eastAsia="宋体" w:cs="宋体"/>
          <w:b/>
          <w:bCs/>
          <w:color w:val="auto"/>
          <w:szCs w:val="24"/>
          <w:highlight w:val="none"/>
        </w:rPr>
        <w:t>法：</w:t>
      </w:r>
      <w:r>
        <w:rPr>
          <w:rFonts w:hint="eastAsia" w:ascii="宋体" w:hAnsi="宋体" w:cs="宋体"/>
          <w:b w:val="0"/>
          <w:bCs w:val="0"/>
          <w:color w:val="auto"/>
          <w:szCs w:val="24"/>
          <w:highlight w:val="none"/>
          <w:lang w:val="en-US" w:eastAsia="zh-CN"/>
        </w:rPr>
        <w:t>采购人</w:t>
      </w:r>
      <w:r>
        <w:rPr>
          <w:rFonts w:hint="eastAsia" w:ascii="宋体" w:hAnsi="宋体" w:eastAsia="宋体" w:cs="宋体"/>
          <w:color w:val="auto"/>
          <w:sz w:val="24"/>
          <w:szCs w:val="24"/>
          <w:highlight w:val="none"/>
        </w:rPr>
        <w:t>在评审结束后2个工作日内确认。采购人应当在收到评审报告后5个工作日内，从评审报告提出的成交候选人中，根据质量和服务均能满足采购文件实质性响应要求且最后报价最低的原则确定成交供应商，也可以书面授权</w:t>
      </w:r>
      <w:r>
        <w:rPr>
          <w:rFonts w:hint="eastAsia" w:ascii="宋体" w:hAnsi="宋体" w:eastAsia="宋体" w:cs="宋体"/>
          <w:color w:val="auto"/>
          <w:sz w:val="24"/>
          <w:szCs w:val="24"/>
          <w:highlight w:val="none"/>
          <w:lang w:val="en-US" w:eastAsia="zh-CN"/>
        </w:rPr>
        <w:t>评分</w:t>
      </w:r>
      <w:r>
        <w:rPr>
          <w:rFonts w:hint="eastAsia" w:ascii="宋体" w:hAnsi="宋体" w:eastAsia="宋体" w:cs="宋体"/>
          <w:color w:val="auto"/>
          <w:sz w:val="24"/>
          <w:szCs w:val="24"/>
          <w:highlight w:val="none"/>
        </w:rPr>
        <w:t>小组直接确定成交供应商。采购人逾期未确定成交供应商且不提出异议的，视为确定评审报告提出的最后报价最低的供应商为成交供应商。</w:t>
      </w:r>
    </w:p>
    <w:p>
      <w:pPr>
        <w:pStyle w:val="5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30、定标</w:t>
      </w:r>
    </w:p>
    <w:p>
      <w:pPr>
        <w:pStyle w:val="5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30.1、招标采购单位将在中标供应商确定之日起2个工作日内，将发布中标公告</w:t>
      </w:r>
    </w:p>
    <w:p>
      <w:pPr>
        <w:pStyle w:val="5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对于未中标单位，将不再另行通知，招标采购单位无义务解释未中标原因。</w:t>
      </w:r>
    </w:p>
    <w:p>
      <w:pPr>
        <w:pStyle w:val="59"/>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30.2、</w:t>
      </w:r>
      <w:r>
        <w:rPr>
          <w:rFonts w:hint="eastAsia" w:ascii="宋体" w:hAnsi="宋体" w:eastAsia="宋体" w:cs="宋体"/>
          <w:color w:val="auto"/>
          <w:highlight w:val="none"/>
        </w:rPr>
        <w:t>中标公告发布后，招标采购单位将以书面形式发出中标通知书，中标通知书一经发出即发生法律效力。中标通知书将作为签订合同的依据。</w:t>
      </w:r>
    </w:p>
    <w:p>
      <w:pPr>
        <w:pStyle w:val="59"/>
        <w:spacing w:before="0"/>
        <w:ind w:firstLine="480"/>
        <w:rPr>
          <w:rFonts w:hint="eastAsia" w:ascii="宋体" w:hAnsi="宋体" w:eastAsia="宋体" w:cs="宋体"/>
          <w:color w:val="auto"/>
          <w:highlight w:val="none"/>
        </w:rPr>
      </w:pPr>
    </w:p>
    <w:p>
      <w:pPr>
        <w:pStyle w:val="59"/>
        <w:spacing w:before="0"/>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九、合同签订及其他</w:t>
      </w:r>
    </w:p>
    <w:p>
      <w:pPr>
        <w:pStyle w:val="5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31、签订合同</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31.1、采购人与中标单位应当在中标通知书发出之日起30日内签订采购合同。</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、中标单位的投标文件、澄清文件及中标通知书等，均为签订合同的依据。</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31.3、中标单位不遵守</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或投标文件的要约、承诺，擅自修改报价或在接到中标通知书规定时间内借故拖延、拒签合同者，承诺按本项目预算金额的2%对采购人进行赔偿；赔偿金额不足以弥补招标人损失的，承诺继续承担超过部分的损失。同时，招标采购单位有权取消该单位的中标资格，与下一中标候选人签订合同或重新组织招标。</w:t>
      </w:r>
    </w:p>
    <w:p>
      <w:pPr>
        <w:pStyle w:val="5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32、履约保证金、质量保证金（如有）</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32.1、履约保证金、质量保证金根据不同采购人的采购需求而定。</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32.2、履约保证金、质量保证金均由采购人收取。</w:t>
      </w:r>
    </w:p>
    <w:p>
      <w:pPr>
        <w:pStyle w:val="5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33、验收</w:t>
      </w:r>
    </w:p>
    <w:p>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采购人自行组织验收。</w:t>
      </w:r>
    </w:p>
    <w:p>
      <w:pPr>
        <w:pStyle w:val="5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34、质疑与投诉</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34.1、投标人如认为自身的合法权益受到损害的，应于自招标公告发布之日起七个工作日内以书面形式向主管部门提出质疑。</w:t>
      </w:r>
    </w:p>
    <w:p>
      <w:pPr>
        <w:adjustRightInd w:val="0"/>
        <w:snapToGrid w:val="0"/>
        <w:spacing w:line="360" w:lineRule="auto"/>
        <w:ind w:firstLine="480" w:firstLineChars="200"/>
        <w:rPr>
          <w:rFonts w:hint="eastAsia" w:ascii="宋体" w:hAnsi="宋体" w:eastAsia="宋体" w:cs="宋体"/>
          <w:color w:val="auto"/>
          <w:sz w:val="24"/>
          <w:highlight w:val="none"/>
        </w:rPr>
      </w:pPr>
    </w:p>
    <w:p>
      <w:pPr>
        <w:numPr>
          <w:ilvl w:val="0"/>
          <w:numId w:val="3"/>
        </w:numPr>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投标人须知之专用条款</w:t>
      </w:r>
    </w:p>
    <w:p>
      <w:pPr>
        <w:pStyle w:val="5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35、投标文件组成（加“▲”的资料为必须提供，否则将视为无效标处理）</w:t>
      </w:r>
    </w:p>
    <w:p>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部分格式可参考“第五部分 投标文件格式”，未提供参考格式的由投标人根据相关要求自行编制。</w:t>
      </w:r>
      <w:r>
        <w:rPr>
          <w:rFonts w:hint="eastAsia" w:ascii="宋体" w:hAnsi="宋体" w:eastAsia="宋体" w:cs="宋体"/>
          <w:color w:val="auto"/>
          <w:sz w:val="24"/>
          <w:highlight w:val="none"/>
        </w:rPr>
        <w:t>投标文件一般应当包括以下主要内容：</w:t>
      </w:r>
      <w:r>
        <w:rPr>
          <w:rFonts w:hint="eastAsia" w:ascii="宋体" w:hAnsi="宋体" w:eastAsia="宋体" w:cs="宋体"/>
          <w:b/>
          <w:color w:val="auto"/>
          <w:sz w:val="24"/>
          <w:highlight w:val="none"/>
        </w:rPr>
        <w:t>报价文件和技术文件、商务文件</w:t>
      </w:r>
      <w:r>
        <w:rPr>
          <w:rFonts w:hint="eastAsia" w:ascii="宋体" w:hAnsi="宋体" w:eastAsia="宋体" w:cs="宋体"/>
          <w:color w:val="auto"/>
          <w:sz w:val="24"/>
          <w:highlight w:val="none"/>
        </w:rPr>
        <w:t>。</w:t>
      </w:r>
    </w:p>
    <w:p>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注意：投标文件封面、开标一览表、投标响应函、授权委托书须加盖单位公章，开标一览表、投标响应函须经法定代表人（或授权代表）签字，否则视为无效投标。</w:t>
      </w:r>
    </w:p>
    <w:p>
      <w:pPr>
        <w:pStyle w:val="59"/>
        <w:spacing w:before="0"/>
        <w:ind w:firstLine="482"/>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35.1、报价文件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zh-CN"/>
        </w:rPr>
        <w:t>应包括以下内容</w:t>
      </w:r>
      <w:r>
        <w:rPr>
          <w:rFonts w:hint="eastAsia" w:ascii="宋体" w:hAnsi="宋体" w:eastAsia="宋体" w:cs="宋体"/>
          <w:color w:val="auto"/>
          <w:szCs w:val="24"/>
          <w:highlight w:val="none"/>
        </w:rPr>
        <w:t>：</w:t>
      </w:r>
    </w:p>
    <w:p>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▲（1）、开标一览表；</w:t>
      </w:r>
    </w:p>
    <w:p>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报价表</w:t>
      </w:r>
      <w:r>
        <w:rPr>
          <w:rFonts w:hint="eastAsia" w:ascii="宋体" w:hAnsi="宋体" w:eastAsia="宋体" w:cs="宋体"/>
          <w:b/>
          <w:bCs/>
          <w:color w:val="auto"/>
          <w:sz w:val="24"/>
          <w:highlight w:val="none"/>
        </w:rPr>
        <w:t>；</w:t>
      </w:r>
    </w:p>
    <w:p>
      <w:pPr>
        <w:adjustRightInd w:val="0"/>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（3）、投标人认为需要提供的与本项目有关的其他文件和说明。</w:t>
      </w:r>
    </w:p>
    <w:p>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投标报价注意事项：</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应包括设备费、现场踏看、材料费、保管费、安装调试费、培训、货物验收、税收、售后服务、采购需求中未提到但在实际采购和安装过程中需要配置的各种设备、材料及其他费用等须由招标人支付的所有费用。</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（2）、投标报价应是唯一的，招标采购单位将拒绝有选择的报价。</w:t>
      </w:r>
    </w:p>
    <w:p>
      <w:pPr>
        <w:pStyle w:val="59"/>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35.2、</w:t>
      </w:r>
      <w:r>
        <w:rPr>
          <w:rFonts w:hint="eastAsia" w:ascii="宋体" w:hAnsi="宋体" w:eastAsia="宋体" w:cs="宋体"/>
          <w:b/>
          <w:color w:val="auto"/>
          <w:szCs w:val="24"/>
          <w:highlight w:val="none"/>
          <w:lang w:val="zh-CN"/>
        </w:rPr>
        <w:t>技术文件应包括以下内容：</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（1）、目录</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（2）、评分响应表；</w:t>
      </w:r>
    </w:p>
    <w:p>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▲（3）、采购需求实质性内容响应表（格式见第五部分 投标文件格式）；</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（4）、对应技术分评分细则提供相关证明资料，并根据要求盖章、提供清晰的复印件或扫描件；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（5）、本项目完整的实施方案；</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（6）、投标人认为需要提供的与本项目有关的其他文件和说明。</w:t>
      </w:r>
    </w:p>
    <w:p>
      <w:pPr>
        <w:pStyle w:val="59"/>
        <w:spacing w:before="0"/>
        <w:ind w:firstLine="482"/>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rPr>
        <w:t>35.3、</w:t>
      </w:r>
      <w:r>
        <w:rPr>
          <w:rFonts w:hint="eastAsia" w:ascii="宋体" w:hAnsi="宋体" w:eastAsia="宋体" w:cs="宋体"/>
          <w:b/>
          <w:color w:val="auto"/>
          <w:szCs w:val="24"/>
          <w:highlight w:val="none"/>
          <w:lang w:val="zh-CN"/>
        </w:rPr>
        <w:t>商务文件应包括以下内容：</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（1）、目录；</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（2）、评分响应表；</w:t>
      </w:r>
    </w:p>
    <w:p>
      <w:pPr>
        <w:adjustRightInd w:val="0"/>
        <w:snapToGrid w:val="0"/>
        <w:spacing w:line="360"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▲（3）、营业执照（或事业单位法人登记证书或其他工商等登记证明材料）复印件；</w:t>
      </w:r>
    </w:p>
    <w:p>
      <w:pPr>
        <w:adjustRightInd w:val="0"/>
        <w:snapToGrid w:val="0"/>
        <w:spacing w:line="360"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▲（4）、投标响应函（必须按照第五部分 投标文件格式）；</w:t>
      </w:r>
    </w:p>
    <w:p>
      <w:pPr>
        <w:adjustRightInd w:val="0"/>
        <w:snapToGrid w:val="0"/>
        <w:spacing w:line="360"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法定代表人授权委托书原件、授权代表的身份证正反面复印件。（法定代表授权委托书必须按照第五部分投标文件格式，如法定代表人直接参加投标并对相应文件签字的，只需提供其身份证正反面复印件）；</w:t>
      </w:r>
    </w:p>
    <w:p>
      <w:pPr>
        <w:adjustRightInd w:val="0"/>
        <w:snapToGrid w:val="0"/>
        <w:spacing w:line="360"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▲（6）、无失信行为承诺书（必须按照第五部分 投标文件格式）；</w:t>
      </w:r>
    </w:p>
    <w:p>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（7）</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对应评分细则提供相关证明资料，并根据要求盖章、提供原件；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）、投标人认为需要提供的与本项目有关的其他文件和说明。</w:t>
      </w:r>
    </w:p>
    <w:p>
      <w:pPr>
        <w:pStyle w:val="5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w:t>
      </w:r>
      <w:r>
        <w:rPr>
          <w:rFonts w:hint="eastAsia" w:ascii="宋体" w:hAnsi="宋体" w:cs="宋体"/>
          <w:b/>
          <w:color w:val="auto"/>
          <w:szCs w:val="24"/>
          <w:highlight w:val="none"/>
          <w:lang w:val="en-US" w:eastAsia="zh-CN"/>
        </w:rPr>
        <w:t>6</w:t>
      </w:r>
      <w:r>
        <w:rPr>
          <w:rFonts w:hint="eastAsia" w:ascii="宋体" w:hAnsi="宋体" w:eastAsia="宋体" w:cs="宋体"/>
          <w:b/>
          <w:color w:val="auto"/>
          <w:szCs w:val="24"/>
          <w:highlight w:val="none"/>
        </w:rPr>
        <w:t>、解释权</w:t>
      </w:r>
    </w:p>
    <w:p>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专用条款与通用条款有矛盾之处，以专用条款为准。凡涉及本次</w:t>
      </w:r>
      <w:r>
        <w:rPr>
          <w:rFonts w:hint="eastAsia" w:ascii="宋体" w:hAnsi="宋体" w:cs="宋体"/>
          <w:color w:val="auto"/>
          <w:kern w:val="0"/>
          <w:sz w:val="24"/>
          <w:highlight w:val="none"/>
          <w:lang w:eastAsia="zh-CN"/>
        </w:rPr>
        <w:t>竞争性比选文件</w:t>
      </w:r>
      <w:r>
        <w:rPr>
          <w:rFonts w:hint="eastAsia" w:ascii="宋体" w:hAnsi="宋体" w:eastAsia="宋体" w:cs="宋体"/>
          <w:color w:val="auto"/>
          <w:kern w:val="0"/>
          <w:sz w:val="24"/>
          <w:highlight w:val="none"/>
        </w:rPr>
        <w:t xml:space="preserve">的解释权属于采购人。 </w:t>
      </w:r>
      <w:bookmarkStart w:id="8" w:name="_Toc482110466"/>
    </w:p>
    <w:p>
      <w:pPr>
        <w:pStyle w:val="33"/>
        <w:spacing w:line="360" w:lineRule="auto"/>
        <w:rPr>
          <w:rFonts w:hint="eastAsia" w:ascii="宋体" w:hAnsi="宋体" w:eastAsia="宋体" w:cs="宋体"/>
          <w:color w:val="auto"/>
          <w:sz w:val="44"/>
          <w:szCs w:val="44"/>
          <w:highlight w:val="none"/>
        </w:rPr>
      </w:pPr>
      <w:bookmarkStart w:id="9" w:name="_Toc10725993"/>
    </w:p>
    <w:p>
      <w:pPr>
        <w:pStyle w:val="33"/>
        <w:spacing w:line="360" w:lineRule="auto"/>
        <w:rPr>
          <w:rFonts w:hint="eastAsia" w:ascii="宋体" w:hAnsi="宋体" w:eastAsia="宋体" w:cs="宋体"/>
          <w:color w:val="auto"/>
          <w:sz w:val="44"/>
          <w:szCs w:val="44"/>
          <w:highlight w:val="none"/>
        </w:rPr>
      </w:pPr>
    </w:p>
    <w:p>
      <w:pPr>
        <w:pStyle w:val="33"/>
        <w:spacing w:line="360" w:lineRule="auto"/>
        <w:jc w:val="both"/>
        <w:rPr>
          <w:rFonts w:hint="eastAsia" w:ascii="宋体" w:hAnsi="宋体" w:eastAsia="宋体" w:cs="宋体"/>
          <w:color w:val="auto"/>
          <w:sz w:val="44"/>
          <w:szCs w:val="44"/>
          <w:highlight w:val="none"/>
        </w:rPr>
        <w:sectPr>
          <w:footerReference r:id="rId3" w:type="default"/>
          <w:pgSz w:w="11907" w:h="16840"/>
          <w:pgMar w:top="1304" w:right="1565" w:bottom="1247" w:left="1344" w:header="851" w:footer="992" w:gutter="0"/>
          <w:pgNumType w:start="1"/>
          <w:cols w:space="720" w:num="1"/>
          <w:docGrid w:linePitch="312" w:charSpace="0"/>
        </w:sectPr>
      </w:pPr>
    </w:p>
    <w:p>
      <w:pPr>
        <w:pStyle w:val="33"/>
        <w:numPr>
          <w:ilvl w:val="0"/>
          <w:numId w:val="4"/>
        </w:numP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采购需求</w:t>
      </w:r>
      <w:bookmarkEnd w:id="8"/>
      <w:bookmarkEnd w:id="9"/>
      <w:bookmarkStart w:id="10" w:name="_Toc482110467"/>
    </w:p>
    <w:p>
      <w:pPr>
        <w:numPr>
          <w:ilvl w:val="0"/>
          <w:numId w:val="0"/>
        </w:numPr>
        <w:wordWrap/>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项目概况</w:t>
      </w:r>
    </w:p>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本项目为“交钥匙”项目，</w:t>
      </w:r>
      <w:r>
        <w:rPr>
          <w:rFonts w:hint="eastAsia" w:ascii="宋体" w:hAnsi="宋体" w:eastAsia="宋体" w:cs="宋体"/>
          <w:bCs/>
          <w:color w:val="auto"/>
          <w:sz w:val="24"/>
          <w:lang w:val="en-US" w:eastAsia="zh-CN"/>
        </w:rPr>
        <w:t>项目</w:t>
      </w:r>
      <w:r>
        <w:rPr>
          <w:rFonts w:hint="eastAsia" w:ascii="宋体" w:hAnsi="宋体" w:eastAsia="宋体" w:cs="宋体"/>
          <w:bCs/>
          <w:color w:val="auto"/>
          <w:sz w:val="24"/>
        </w:rPr>
        <w:t>内容包括清单中货物供货、安装调试、货物验收、培训、质保期内的售后服务等。投标报价包括设备费、安装调试费、售后服务费、培训费、有关部门的验收费、政策性文件规定及合同包含的所有风险、责任等各项全部费用。</w:t>
      </w:r>
    </w:p>
    <w:p>
      <w:pPr>
        <w:numPr>
          <w:ilvl w:val="0"/>
          <w:numId w:val="0"/>
        </w:numPr>
        <w:adjustRightInd w:val="0"/>
        <w:snapToGrid w:val="0"/>
        <w:spacing w:line="360" w:lineRule="auto"/>
        <w:ind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二、采购清单</w:t>
      </w:r>
      <w:r>
        <w:rPr>
          <w:rFonts w:hint="eastAsia" w:ascii="宋体" w:hAnsi="宋体" w:cs="宋体"/>
          <w:b/>
          <w:bCs/>
          <w:color w:val="auto"/>
          <w:sz w:val="24"/>
          <w:szCs w:val="24"/>
          <w:highlight w:val="none"/>
          <w:lang w:val="en-US" w:eastAsia="zh-CN"/>
        </w:rPr>
        <w:t>（详细清单见附件）</w:t>
      </w:r>
    </w:p>
    <w:p>
      <w:pPr>
        <w:numPr>
          <w:ilvl w:val="0"/>
          <w:numId w:val="0"/>
        </w:numPr>
        <w:adjustRightInd w:val="0"/>
        <w:snapToGrid w:val="0"/>
        <w:spacing w:line="360" w:lineRule="auto"/>
        <w:ind w:lef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val="0"/>
          <w:color w:val="auto"/>
          <w:sz w:val="24"/>
          <w:szCs w:val="24"/>
          <w:highlight w:val="none"/>
          <w:lang w:val="en-US" w:eastAsia="zh-CN"/>
        </w:rPr>
        <w:t>三、整体要求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1、根据《静脉用药调配中心建设与管理指南》，对静脉用药调配中心净化要求为“《静脉用药调配中心建设与管理指南》</w:t>
      </w:r>
      <w:bookmarkStart w:id="11" w:name="_Toc515605619"/>
      <w:r>
        <w:rPr>
          <w:rFonts w:hint="eastAsia" w:ascii="宋体" w:hAnsi="宋体" w:eastAsia="宋体" w:cs="宋体"/>
          <w:color w:val="auto"/>
          <w:sz w:val="24"/>
          <w:szCs w:val="24"/>
          <w:lang w:val="en-US" w:eastAsia="zh-CN"/>
        </w:rPr>
        <w:t>——第四章 建筑、设施与设备</w:t>
      </w:r>
      <w:bookmarkEnd w:id="11"/>
      <w:r>
        <w:rPr>
          <w:rFonts w:hint="eastAsia" w:ascii="宋体" w:hAnsi="宋体" w:eastAsia="宋体" w:cs="宋体"/>
          <w:color w:val="auto"/>
          <w:sz w:val="24"/>
          <w:szCs w:val="24"/>
          <w:lang w:val="en-US" w:eastAsia="zh-CN"/>
        </w:rPr>
        <w:t>——第二十一条：静配中心应当根据本医疗机构床位、日调配工作量设计其规模，并根据调配药品品种、外部环境状况等配置空调净化系统，使净化区内的有效通风以及温度、湿度控制和空气净化过滤符合规范，确保净化区环境的质量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2、根据《静脉用药调配中心建设与管理指南》，“附件1</w:t>
      </w:r>
      <w:bookmarkStart w:id="12" w:name="_Toc515605623"/>
      <w:r>
        <w:rPr>
          <w:rFonts w:hint="eastAsia" w:ascii="宋体" w:hAnsi="宋体" w:eastAsia="宋体" w:cs="宋体"/>
          <w:color w:val="auto"/>
          <w:sz w:val="24"/>
          <w:szCs w:val="24"/>
          <w:lang w:val="en-US" w:eastAsia="zh-CN"/>
        </w:rPr>
        <w:t xml:space="preserve"> 静脉用药调配中心建设规范</w:t>
      </w:r>
      <w:bookmarkEnd w:id="12"/>
      <w:r>
        <w:rPr>
          <w:rFonts w:hint="eastAsia" w:ascii="宋体" w:hAnsi="宋体" w:eastAsia="宋体" w:cs="宋体"/>
          <w:color w:val="auto"/>
          <w:sz w:val="24"/>
          <w:szCs w:val="24"/>
          <w:lang w:val="en-US" w:eastAsia="zh-CN"/>
        </w:rPr>
        <w:t>——</w:t>
      </w:r>
      <w:bookmarkStart w:id="13" w:name="_Toc515605625"/>
      <w:r>
        <w:rPr>
          <w:rFonts w:hint="eastAsia" w:ascii="宋体" w:hAnsi="宋体" w:eastAsia="宋体" w:cs="宋体"/>
          <w:color w:val="auto"/>
          <w:sz w:val="24"/>
          <w:szCs w:val="24"/>
          <w:lang w:val="en-US" w:eastAsia="zh-CN"/>
        </w:rPr>
        <w:t>二、设计、建筑装修与设施设备</w:t>
      </w:r>
      <w:bookmarkEnd w:id="13"/>
      <w:r>
        <w:rPr>
          <w:rFonts w:hint="eastAsia" w:ascii="宋体" w:hAnsi="宋体" w:eastAsia="宋体" w:cs="宋体"/>
          <w:color w:val="auto"/>
          <w:sz w:val="24"/>
          <w:szCs w:val="24"/>
          <w:lang w:val="en-US" w:eastAsia="zh-CN"/>
        </w:rPr>
        <w:t>”对净化系统设计要求如下：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洁净级别要求。一次更衣室、洁净洗衣洁具间为D级（十万级）；二次更衣室、调配操作间为C级（万级）；生物安全柜、水平层流洁净台为A级（百级）。洁净区洁净标准应符合国家相关规定，经检测合格后方可投入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（2）换气次数要求。D级（十万级）≥15次/小时，C级（万级）≥25次/小时。</w:t>
      </w:r>
    </w:p>
    <w:p>
      <w:pPr>
        <w:numPr>
          <w:ilvl w:val="0"/>
          <w:numId w:val="0"/>
        </w:numPr>
        <w:spacing w:line="360" w:lineRule="auto"/>
        <w:ind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3、根据《静脉用药调配中心建设与管理指南》，“《静脉用药调配中心建设与管理指南》——第四章 建筑、设施与设备——第二十七条：静配中心建设、装修施工完毕后，应当对洁净区的洁净度、噪音、静压差、温度、相对湿度及工作区域照明度等进行检测与现场验收，符合规定后方可投入使用。”</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4、根据《静脉用药调配中心建设与管理指南》，“附件1 静脉用药调配中心建设规范——二、设计、建筑装修与设施设备”</w:t>
      </w:r>
      <w:r>
        <w:rPr>
          <w:rFonts w:hint="eastAsia" w:ascii="宋体" w:hAnsi="宋体" w:eastAsia="宋体" w:cs="宋体"/>
          <w:color w:val="auto"/>
          <w:sz w:val="24"/>
          <w:szCs w:val="24"/>
        </w:rPr>
        <w:t>静压差要求</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电解质类等普通输液与肠外营养液洁净区各房间压差梯度：</w:t>
      </w:r>
      <w:bookmarkStart w:id="14" w:name="_Hlk524962702"/>
      <w:r>
        <w:rPr>
          <w:rFonts w:hint="eastAsia" w:ascii="宋体" w:hAnsi="宋体" w:eastAsia="宋体" w:cs="宋体"/>
          <w:color w:val="auto"/>
          <w:sz w:val="24"/>
          <w:szCs w:val="24"/>
        </w:rPr>
        <w:t>非洁净控制区</w:t>
      </w:r>
      <w:bookmarkEnd w:id="14"/>
      <w:r>
        <w:rPr>
          <w:rFonts w:hint="eastAsia" w:ascii="宋体" w:hAnsi="宋体" w:eastAsia="宋体" w:cs="宋体"/>
          <w:color w:val="auto"/>
          <w:sz w:val="24"/>
          <w:szCs w:val="24"/>
        </w:rPr>
        <w:t>＜一次更衣室＜二次更衣室＜</w:t>
      </w:r>
      <w:bookmarkStart w:id="15" w:name="_Hlk524962676"/>
      <w:r>
        <w:rPr>
          <w:rFonts w:hint="eastAsia" w:ascii="宋体" w:hAnsi="宋体" w:eastAsia="宋体" w:cs="宋体"/>
          <w:color w:val="auto"/>
          <w:sz w:val="24"/>
          <w:szCs w:val="24"/>
        </w:rPr>
        <w:t>调配操作间</w:t>
      </w:r>
      <w:bookmarkEnd w:id="15"/>
      <w:r>
        <w:rPr>
          <w:rFonts w:hint="eastAsia" w:ascii="宋体" w:hAnsi="宋体" w:eastAsia="宋体" w:cs="宋体"/>
          <w:color w:val="auto"/>
          <w:sz w:val="24"/>
          <w:szCs w:val="24"/>
        </w:rPr>
        <w:t>；相邻洁净区域压差5～10Pa；一次更衣室与非洁净控制区</w:t>
      </w:r>
      <w:bookmarkStart w:id="16" w:name="_Hlk524962750"/>
      <w:r>
        <w:rPr>
          <w:rFonts w:hint="eastAsia" w:ascii="宋体" w:hAnsi="宋体" w:eastAsia="宋体" w:cs="宋体"/>
          <w:color w:val="auto"/>
          <w:sz w:val="24"/>
          <w:szCs w:val="24"/>
        </w:rPr>
        <w:t>之间压差≥10Pa；</w:t>
      </w:r>
      <w:bookmarkEnd w:id="16"/>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抗生素及危害药品洁净区各房间压差梯度：非洁净控制区＜一次更衣室＜二次更衣室＞抗生素及危害药品调配操作间；相邻洁净区域压差5～10Pa；一次更衣室与非洁净控制区之间压差</w:t>
      </w:r>
      <w:bookmarkStart w:id="17" w:name="_Hlk513881526"/>
      <w:r>
        <w:rPr>
          <w:rFonts w:hint="eastAsia" w:ascii="宋体" w:hAnsi="宋体" w:eastAsia="宋体" w:cs="宋体"/>
          <w:color w:val="auto"/>
          <w:sz w:val="24"/>
          <w:szCs w:val="24"/>
        </w:rPr>
        <w:t>≥</w:t>
      </w:r>
      <w:bookmarkEnd w:id="17"/>
      <w:r>
        <w:rPr>
          <w:rFonts w:hint="eastAsia" w:ascii="宋体" w:hAnsi="宋体" w:eastAsia="宋体" w:cs="宋体"/>
          <w:color w:val="auto"/>
          <w:sz w:val="24"/>
          <w:szCs w:val="24"/>
        </w:rPr>
        <w:t>10Pa；</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③调配操作间与非洁净控制区之间压差≥10Pa。</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5、根据《静脉用药调配中心建设与管理指南》，“附件1 静脉用药调配中心建设规范——二、设计、建筑装修与设施设备”</w:t>
      </w:r>
      <w:r>
        <w:rPr>
          <w:rFonts w:hint="eastAsia" w:ascii="宋体" w:hAnsi="宋体" w:eastAsia="宋体" w:cs="宋体"/>
          <w:color w:val="auto"/>
          <w:sz w:val="24"/>
          <w:szCs w:val="24"/>
        </w:rPr>
        <w:t>其他设计要求</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（2）用于同一洁净区域的空气净化机组及空调系统开关、温湿度表、压差表宜设置于同一块控制面板上，安装在方便操作和观察记录的位置，并应当易于擦拭清洁。</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6、根据《静脉用药调配中心建设与管理指南》，“附件1 静脉用药调配中心建设规范——（三）建筑装修设计与施工”对暖通系统设计与施工要求：</w:t>
      </w:r>
    </w:p>
    <w:p>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（1）根据药品性质分别建立不同的送回风系统与送排风系统。</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1 \* GB3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送回风系统：是指空调系统的空气循环方式，</w:t>
      </w:r>
      <w:bookmarkStart w:id="18" w:name="_Hlk524550773"/>
      <w:r>
        <w:rPr>
          <w:rFonts w:hint="eastAsia" w:ascii="宋体" w:hAnsi="宋体" w:eastAsia="宋体" w:cs="宋体"/>
          <w:color w:val="auto"/>
          <w:sz w:val="24"/>
          <w:szCs w:val="24"/>
          <w:lang w:val="en-US" w:eastAsia="zh-CN"/>
        </w:rPr>
        <w:t>即新风送入洁净间后，</w:t>
      </w:r>
      <w:bookmarkEnd w:id="18"/>
      <w:r>
        <w:rPr>
          <w:rFonts w:hint="eastAsia" w:ascii="宋体" w:hAnsi="宋体" w:eastAsia="宋体" w:cs="宋体"/>
          <w:color w:val="auto"/>
          <w:sz w:val="24"/>
          <w:szCs w:val="24"/>
          <w:lang w:val="en-US" w:eastAsia="zh-CN"/>
        </w:rPr>
        <w:t>确保不少于30%的空气排出到室外，不大于70%的空气循环使用，同时空调系统补充等量新风；</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2 \* GB3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送排风系统：是指空调系统的空气循环方式，又叫全新风系统，即新风送入洁净间后，100%的空气排出到室外，新风全部从室外采集，补充进入净化空调系统；</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3 \* GB3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电解质类等普通输液和肠外营养液调配操作间，与其相对应的一次更衣室、二次更衣室、洁净洗衣洁具间为一套独立的送回风系统；</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4 \* GB3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抗生素和危害药品调配操作间，与其相对应的一次更衣室、二次更衣室、洗衣洁具间为一套独立的送排风系统，但危害药品调配操作间应隔离成单独调配操作间。</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每个独立的洁净间都应有独立的排/回风口和排/回风管道，采用与送风管相同的材料制作，不得使用裸露的墙体夹层进行排/回风；不得将排/回风直接排入摆药贴签核对、成品输液核对等非洁净控制区内或墙体夹层内；洁净区送风与排/回风应采用顶层送，下侧排/回风模式。</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（3）室外排风口应置于采风口下风方向，其距离不得小于3米，或者将排风口与采风口设置于建筑物的不同侧面。</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（4）净化系统风管应当采用镀锌钢板，厚度根据相应标准要求执行，风管保温材料应符合消防要求。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（5）排风管道设备应安装防倒灌装置。</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（6）洁净间内高效送风口应符合洁净设计要求，保证合理的送风量与新风量，且每个送风口均应设置碟阀；电解质类等普通药物和肠外营养液调配操作间气流模式应科学合理、符合规定。</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r>
        <w:rPr>
          <w:rFonts w:hint="eastAsia" w:ascii="宋体" w:hAnsi="宋体" w:eastAsia="宋体" w:cs="宋体"/>
          <w:b/>
          <w:bCs/>
          <w:color w:val="auto"/>
          <w:sz w:val="24"/>
          <w:szCs w:val="24"/>
          <w:lang w:val="en-US" w:eastAsia="zh-CN"/>
        </w:rPr>
        <w:t>四、具体要求</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建筑专业技术要求</w:t>
      </w:r>
    </w:p>
    <w:p>
      <w:pPr>
        <w:widowControl/>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（1）墙面装饰</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①对材料整体要求为：要求无污染，耐擦洗、耐酸碱、防火、隔声、保温、防菌。</w:t>
      </w:r>
    </w:p>
    <w:p>
      <w:pPr>
        <w:widowControl/>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kern w:val="0"/>
          <w:sz w:val="24"/>
          <w:highlight w:val="none"/>
        </w:rPr>
        <w:t>●</w:t>
      </w:r>
      <w:r>
        <w:rPr>
          <w:rFonts w:hint="eastAsia" w:ascii="宋体" w:hAnsi="宋体" w:eastAsia="宋体" w:cs="宋体"/>
          <w:color w:val="auto"/>
          <w:sz w:val="24"/>
          <w:szCs w:val="24"/>
        </w:rPr>
        <w:t>②本项目区域所有隔墙均采用50mm厚净化夹芯板，如玻镁、玻镁岩棉等夹芯材料。</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③</w:t>
      </w:r>
      <w:r>
        <w:rPr>
          <w:rFonts w:hint="eastAsia" w:ascii="宋体" w:hAnsi="宋体" w:eastAsia="宋体" w:cs="宋体"/>
          <w:color w:val="auto"/>
          <w:sz w:val="24"/>
          <w:szCs w:val="24"/>
        </w:rPr>
        <w:t>本项目隔墙材料所使用的胶水确保为双组份胶水，环保无毒。</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④本项目隔墙材料到场确保表面带有5C有字膜,保护材料到场的完整性。</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⑤本项目隔墙所采用的净化夹芯板基板要求锌层不小于60g/㎡。</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⑥本项目隔墙材料要求玻镁板氯离子含量≤0.01%，避免玻镁板返卤、生锈、腐蚀钢板与铝型材，减少项目使用年限。</w:t>
      </w:r>
    </w:p>
    <w:p>
      <w:pPr>
        <w:widowControl/>
        <w:spacing w:line="360" w:lineRule="auto"/>
        <w:ind w:firstLine="482" w:firstLineChars="200"/>
        <w:rPr>
          <w:rFonts w:hint="eastAsia" w:ascii="宋体" w:hAnsi="宋体" w:eastAsia="宋体" w:cs="宋体"/>
          <w:color w:val="auto"/>
          <w:sz w:val="24"/>
          <w:szCs w:val="24"/>
          <w:lang w:eastAsia="zh-CN"/>
        </w:rPr>
      </w:pPr>
      <w:r>
        <w:rPr>
          <w:rFonts w:hint="eastAsia" w:ascii="宋体" w:hAnsi="宋体" w:eastAsia="宋体" w:cs="宋体"/>
          <w:b/>
          <w:color w:val="auto"/>
          <w:kern w:val="0"/>
          <w:sz w:val="24"/>
          <w:highlight w:val="none"/>
        </w:rPr>
        <w:t>●</w:t>
      </w:r>
      <w:r>
        <w:rPr>
          <w:rFonts w:hint="eastAsia" w:ascii="宋体" w:hAnsi="宋体" w:eastAsia="宋体" w:cs="宋体"/>
          <w:color w:val="auto"/>
          <w:sz w:val="24"/>
          <w:szCs w:val="24"/>
        </w:rPr>
        <w:t>⑦本项目隔墙材料要求耐火极限不小于 60 分钟</w:t>
      </w:r>
      <w:r>
        <w:rPr>
          <w:rFonts w:hint="eastAsia" w:ascii="宋体" w:hAnsi="宋体" w:cs="宋体"/>
          <w:color w:val="auto"/>
          <w:sz w:val="24"/>
          <w:szCs w:val="24"/>
          <w:lang w:eastAsia="zh-CN"/>
        </w:rPr>
        <w:t>；</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⑧</w:t>
      </w:r>
      <w:r>
        <w:rPr>
          <w:rFonts w:hint="eastAsia" w:ascii="宋体" w:hAnsi="宋体" w:eastAsia="宋体" w:cs="宋体"/>
          <w:color w:val="auto"/>
          <w:sz w:val="24"/>
          <w:szCs w:val="24"/>
        </w:rPr>
        <w:t>隔断之间,隔断与天花之间,隔断与地面之间的阴角封R50铝合金圆角线,圆角线三维汇交处安装铝合金球面。在地面按设计尺寸敷设铝合金内圆弧，将彩钢板固定地面，彩钢板的连接方式为企口连接。</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）吊顶</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①对材料整体要求为（除走廊、办公室、卫生间、淋浴范围）：要求无污染，耐擦洗、耐酸碱、防火、隔声、保温、防菌。</w:t>
      </w:r>
    </w:p>
    <w:p>
      <w:pPr>
        <w:widowControl/>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kern w:val="0"/>
          <w:sz w:val="24"/>
          <w:highlight w:val="none"/>
        </w:rPr>
        <w:t>●</w:t>
      </w:r>
      <w:r>
        <w:rPr>
          <w:rFonts w:hint="eastAsia" w:ascii="宋体" w:hAnsi="宋体" w:eastAsia="宋体" w:cs="宋体"/>
          <w:color w:val="auto"/>
          <w:sz w:val="24"/>
          <w:szCs w:val="24"/>
        </w:rPr>
        <w:t>②本项目区域所有隔墙均采用50mm厚净化夹芯板，如玻镁、玻镁岩棉等夹芯材料，且能承重上人。</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③本项目吊顶材料所使用的胶水确保为双组份胶水，环保无毒。</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④本项目吊顶材料到场确保表面带有5C有字膜,保护材料到场的完整性。</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⑤本项目吊顶所采用的净化夹芯板基板要求锌层不小于60g/㎡。</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⑥本项目吊顶材料要求玻镁板氯离子含量≤0.01%，避免玻镁板返卤、生锈、腐蚀钢板与铝型材，减少项目使用年限。</w:t>
      </w:r>
    </w:p>
    <w:p>
      <w:pPr>
        <w:widowControl/>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kern w:val="0"/>
          <w:sz w:val="24"/>
          <w:highlight w:val="none"/>
        </w:rPr>
        <w:t>●</w:t>
      </w:r>
      <w:r>
        <w:rPr>
          <w:rFonts w:hint="eastAsia" w:ascii="宋体" w:hAnsi="宋体" w:eastAsia="宋体" w:cs="宋体"/>
          <w:color w:val="auto"/>
          <w:sz w:val="24"/>
          <w:szCs w:val="24"/>
        </w:rPr>
        <w:t>⑦本项目吊顶材料要求耐火极限不小于 60 分钟。</w:t>
      </w:r>
    </w:p>
    <w:p>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⑧</w:t>
      </w:r>
      <w:r>
        <w:rPr>
          <w:rFonts w:hint="eastAsia" w:ascii="宋体" w:hAnsi="宋体" w:eastAsia="宋体" w:cs="宋体"/>
          <w:color w:val="auto"/>
          <w:sz w:val="24"/>
          <w:szCs w:val="24"/>
        </w:rPr>
        <w:t>吊顶选择适当位置设置检修口，材质等同于吊顶材质。</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）门、窗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①整体要求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PIVAS区域内所采用门窗均需要由良好的封闭性。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t>自制</w:t>
      </w:r>
      <w:r>
        <w:rPr>
          <w:rFonts w:hint="eastAsia" w:ascii="宋体" w:hAnsi="宋体" w:eastAsia="宋体" w:cs="宋体"/>
          <w:color w:val="auto"/>
          <w:sz w:val="24"/>
          <w:szCs w:val="24"/>
        </w:rPr>
        <w:t>洁净门</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PIVAS区域内用房的门体</w:t>
      </w:r>
      <w:r>
        <w:rPr>
          <w:rFonts w:hint="eastAsia" w:ascii="宋体" w:hAnsi="宋体" w:eastAsia="宋体" w:cs="宋体"/>
          <w:color w:val="auto"/>
          <w:sz w:val="24"/>
          <w:szCs w:val="24"/>
          <w:lang w:val="en-US" w:eastAsia="zh-CN"/>
        </w:rPr>
        <w:t>均采用自制，洁净区门体需要考虑气密性。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③观察窗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PIVAS内所有观察窗采用</w:t>
      </w:r>
      <w:r>
        <w:rPr>
          <w:rFonts w:hint="eastAsia" w:ascii="宋体" w:hAnsi="宋体" w:eastAsia="宋体" w:cs="宋体"/>
          <w:color w:val="auto"/>
          <w:sz w:val="24"/>
          <w:szCs w:val="24"/>
          <w:lang w:val="en-US" w:eastAsia="zh-CN"/>
        </w:rPr>
        <w:t>手工自制8mm</w:t>
      </w:r>
      <w:r>
        <w:rPr>
          <w:rFonts w:hint="eastAsia" w:ascii="宋体" w:hAnsi="宋体" w:eastAsia="宋体" w:cs="宋体"/>
          <w:color w:val="auto"/>
          <w:sz w:val="24"/>
          <w:szCs w:val="24"/>
        </w:rPr>
        <w:t>的密闭型</w:t>
      </w:r>
      <w:r>
        <w:rPr>
          <w:rFonts w:hint="eastAsia" w:ascii="宋体" w:hAnsi="宋体" w:eastAsia="宋体" w:cs="宋体"/>
          <w:color w:val="auto"/>
          <w:sz w:val="24"/>
          <w:szCs w:val="24"/>
          <w:lang w:val="en-US" w:eastAsia="zh-CN"/>
        </w:rPr>
        <w:t>型</w:t>
      </w:r>
      <w:r>
        <w:rPr>
          <w:rFonts w:hint="eastAsia" w:ascii="宋体" w:hAnsi="宋体" w:eastAsia="宋体" w:cs="宋体"/>
          <w:color w:val="auto"/>
          <w:sz w:val="24"/>
          <w:szCs w:val="24"/>
        </w:rPr>
        <w:t>玻璃窗。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④传递窗</w:t>
      </w:r>
    </w:p>
    <w:p>
      <w:pPr>
        <w:numPr>
          <w:ilvl w:val="0"/>
          <w:numId w:val="5"/>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PIVAS内调配间设置传递窗</w:t>
      </w:r>
      <w:r>
        <w:rPr>
          <w:rFonts w:hint="eastAsia" w:ascii="宋体" w:hAnsi="宋体" w:eastAsia="宋体" w:cs="宋体"/>
          <w:color w:val="auto"/>
          <w:sz w:val="24"/>
          <w:szCs w:val="24"/>
          <w:lang w:val="en-US" w:eastAsia="zh-CN"/>
        </w:rPr>
        <w:t>设置双层传递窗，</w:t>
      </w:r>
      <w:r>
        <w:rPr>
          <w:rFonts w:hint="eastAsia" w:ascii="宋体" w:hAnsi="宋体" w:eastAsia="宋体" w:cs="宋体"/>
          <w:color w:val="auto"/>
          <w:sz w:val="24"/>
          <w:szCs w:val="24"/>
        </w:rPr>
        <w:t>用于药品传递、废弃物传递</w:t>
      </w:r>
      <w:r>
        <w:rPr>
          <w:rFonts w:hint="eastAsia" w:ascii="宋体" w:hAnsi="宋体" w:cs="宋体"/>
          <w:color w:val="auto"/>
          <w:sz w:val="24"/>
          <w:szCs w:val="24"/>
          <w:lang w:eastAsia="zh-CN"/>
        </w:rPr>
        <w:t>；</w:t>
      </w:r>
    </w:p>
    <w:p>
      <w:pPr>
        <w:numPr>
          <w:ilvl w:val="0"/>
          <w:numId w:val="0"/>
        </w:num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kern w:val="0"/>
          <w:sz w:val="24"/>
          <w:highlight w:val="none"/>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传递窗材质均要求为SUS304不锈钢，均配置内嵌洁净式对讲电话，并配置紫外消毒灭菌灯。</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kern w:val="0"/>
          <w:sz w:val="24"/>
          <w:highlight w:val="none"/>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传递窗要求带机械互锁，确保双门不能同时打开。</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kern w:val="0"/>
          <w:sz w:val="24"/>
          <w:highlight w:val="none"/>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传递窗要求带可视玻璃窗，便于内外了解传递情况。</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暖通部分</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（1）净化级别</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根据PIVAS要求，对各个分区的气压压差、温湿度、净化、空调进行设计，使其达到符合有关规范要求。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一更：十万级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洁洗间：十万级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二更：万级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调配操作间：万级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生物安全柜：百级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超净工作台：百级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其他区域：控制区（含新风）。</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（2）压力要求</w:t>
      </w:r>
    </w:p>
    <w:p>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肠外营养液调配间</w:t>
      </w:r>
      <w:r>
        <w:rPr>
          <w:rFonts w:hint="eastAsia" w:ascii="宋体" w:hAnsi="宋体" w:eastAsia="宋体" w:cs="宋体"/>
          <w:color w:val="auto"/>
          <w:sz w:val="24"/>
          <w:szCs w:val="24"/>
        </w:rPr>
        <w:t>洁净区（一次更衣室相对非洁净控制区）：正压差（≥10Pa）</w:t>
      </w:r>
    </w:p>
    <w:p>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肠外营养液调配间</w:t>
      </w:r>
      <w:r>
        <w:rPr>
          <w:rFonts w:hint="eastAsia" w:ascii="宋体" w:hAnsi="宋体" w:eastAsia="宋体" w:cs="宋体"/>
          <w:color w:val="auto"/>
          <w:sz w:val="24"/>
          <w:szCs w:val="24"/>
        </w:rPr>
        <w:t>洁净区（二次更衣室相对一次更衣室）：正压差（5Pa—10Pa）</w:t>
      </w:r>
    </w:p>
    <w:p>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肠外营养液调配间</w:t>
      </w:r>
      <w:r>
        <w:rPr>
          <w:rFonts w:hint="eastAsia" w:ascii="宋体" w:hAnsi="宋体" w:eastAsia="宋体" w:cs="宋体"/>
          <w:color w:val="auto"/>
          <w:sz w:val="24"/>
          <w:szCs w:val="24"/>
        </w:rPr>
        <w:t>洁净区（调配操作间相对二次更衣室）：正压差（5Pa—10Pa）</w:t>
      </w:r>
    </w:p>
    <w:p>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肠外营养液调配间</w:t>
      </w:r>
      <w:r>
        <w:rPr>
          <w:rFonts w:hint="eastAsia" w:ascii="宋体" w:hAnsi="宋体" w:eastAsia="宋体" w:cs="宋体"/>
          <w:color w:val="auto"/>
          <w:sz w:val="24"/>
          <w:szCs w:val="24"/>
        </w:rPr>
        <w:t>洁净区（调配操作间与非洁净区）：正压差≥10Pa</w:t>
      </w:r>
    </w:p>
    <w:p>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抗肿瘤药物调配间</w:t>
      </w:r>
      <w:r>
        <w:rPr>
          <w:rFonts w:hint="eastAsia" w:ascii="宋体" w:hAnsi="宋体" w:eastAsia="宋体" w:cs="宋体"/>
          <w:color w:val="auto"/>
          <w:sz w:val="24"/>
          <w:szCs w:val="24"/>
        </w:rPr>
        <w:t>洁净区（一次更衣室相对非洁净控制区）：正压差（≥10Pa）</w:t>
      </w:r>
    </w:p>
    <w:p>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抗肿瘤药物调配间</w:t>
      </w:r>
      <w:r>
        <w:rPr>
          <w:rFonts w:hint="eastAsia" w:ascii="宋体" w:hAnsi="宋体" w:eastAsia="宋体" w:cs="宋体"/>
          <w:color w:val="auto"/>
          <w:sz w:val="24"/>
          <w:szCs w:val="24"/>
        </w:rPr>
        <w:t>洁净区（二次更衣室相对一次更衣室）：正压差（5Pa—10Pa）</w:t>
      </w:r>
    </w:p>
    <w:p>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抗肿瘤药物调配间</w:t>
      </w:r>
      <w:r>
        <w:rPr>
          <w:rFonts w:hint="eastAsia" w:ascii="宋体" w:hAnsi="宋体" w:eastAsia="宋体" w:cs="宋体"/>
          <w:color w:val="auto"/>
          <w:sz w:val="24"/>
          <w:szCs w:val="24"/>
        </w:rPr>
        <w:t>洁净区（调配操作间相对二次更衣室）：负压差（5Pa—10Pa）</w:t>
      </w:r>
    </w:p>
    <w:p>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抗肿瘤药物调配间</w:t>
      </w:r>
      <w:r>
        <w:rPr>
          <w:rFonts w:hint="eastAsia" w:ascii="宋体" w:hAnsi="宋体" w:eastAsia="宋体" w:cs="宋体"/>
          <w:color w:val="auto"/>
          <w:sz w:val="24"/>
          <w:szCs w:val="24"/>
        </w:rPr>
        <w:t>洁净区（调配操作间相对非洁净控制区）：正压差（≥10Pa）</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工作区域空气流向要求由洁到污。</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（3）温湿度要求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洁净区所有房间温度为18-22℃，相对湿度为35-75%。</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（4）洁净系统要求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PIVAS洁净区空调系统采用上送下侧回的形式，通过高效送风口送风。根据洁净区域划分，采用两套独立恒温恒湿洁净空调系统，其中，抗生素药品调配间及危害药物调配间采用全送全排系统，</w:t>
      </w:r>
      <w:r>
        <w:rPr>
          <w:rFonts w:hint="eastAsia" w:ascii="宋体" w:hAnsi="宋体" w:cs="宋体"/>
          <w:color w:val="auto"/>
          <w:sz w:val="24"/>
          <w:szCs w:val="24"/>
          <w:lang w:eastAsia="zh-CN"/>
        </w:rPr>
        <w:t>肠外营养液调配间</w:t>
      </w:r>
      <w:r>
        <w:rPr>
          <w:rFonts w:hint="eastAsia" w:ascii="宋体" w:hAnsi="宋体" w:eastAsia="宋体" w:cs="宋体"/>
          <w:color w:val="auto"/>
          <w:sz w:val="24"/>
          <w:szCs w:val="24"/>
        </w:rPr>
        <w:t>采用带回风系统，净化空调机组采用国内知名、专业的洁净空调品牌，加入最新的更符合洁净区使用要求的净化处理技术，实现系统的高效、节能管理。</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①净化空调机组技术指标和配置要求</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整体要求：空调机组的检查门应严密、灵活、安全；机组连接水管穿过箱体要绝热和密封；机组应设排水口，排放应畅通、无溢出和渗漏；采用优质阻尼弹簧减震，有效的降低风机震动和噪音；风机出口采用符合消防要求的帆布柔性软连接，防止振动传递；机组外表面应无明显划伤、锈斑和压痕，表面光洁，喷涂层均匀，色调一致，无流痕、气泡和剥落；机组应清理干净，箱体内应无杂物；产品铭牌应全面、清晰反映机组的各项参数；面板与框架之间平接，表面平整光滑，边角处均圆弧过渡，防止积尘积水</w:t>
      </w:r>
      <w:r>
        <w:rPr>
          <w:rFonts w:hint="eastAsia" w:ascii="宋体" w:hAnsi="宋体" w:eastAsia="宋体" w:cs="宋体"/>
          <w:color w:val="auto"/>
          <w:sz w:val="24"/>
          <w:szCs w:val="24"/>
          <w:lang w:eastAsia="zh-CN"/>
        </w:rPr>
        <w:t>。</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②排风系统</w:t>
      </w:r>
    </w:p>
    <w:p>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抗肿瘤药物调配间</w:t>
      </w:r>
      <w:r>
        <w:rPr>
          <w:rFonts w:hint="eastAsia" w:ascii="宋体" w:hAnsi="宋体" w:eastAsia="宋体" w:cs="宋体"/>
          <w:color w:val="auto"/>
          <w:sz w:val="24"/>
          <w:szCs w:val="24"/>
        </w:rPr>
        <w:t>为保证内部压差及排除室内大量污染空气补充新鲜空气，需要大量排风，排风量由补充新风量、内部压差要求综合考虑确定。</w:t>
      </w:r>
    </w:p>
    <w:p>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抗肿瘤药物调配间</w:t>
      </w:r>
      <w:r>
        <w:rPr>
          <w:rFonts w:hint="eastAsia" w:ascii="宋体" w:hAnsi="宋体" w:eastAsia="宋体" w:cs="宋体"/>
          <w:color w:val="auto"/>
          <w:sz w:val="24"/>
          <w:szCs w:val="24"/>
        </w:rPr>
        <w:t>内存在对人体有害的气体，故该房间排风采用活性炭过滤器过滤后排放，不与其他排风混合，排风系统均装设止回阀防止气流倒灌</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同时</w:t>
      </w:r>
      <w:r>
        <w:rPr>
          <w:rFonts w:hint="eastAsia" w:ascii="宋体" w:hAnsi="宋体" w:eastAsia="宋体" w:cs="宋体"/>
          <w:color w:val="auto"/>
          <w:sz w:val="24"/>
          <w:szCs w:val="24"/>
        </w:rPr>
        <w:t>排风采用高效吸附的可抽取式活性炭过滤器处理处理装置，</w:t>
      </w:r>
      <w:r>
        <w:rPr>
          <w:rFonts w:hint="eastAsia" w:ascii="宋体" w:hAnsi="宋体" w:cs="宋体"/>
          <w:color w:val="auto"/>
          <w:sz w:val="24"/>
          <w:szCs w:val="24"/>
          <w:lang w:val="en-US" w:eastAsia="zh-CN"/>
        </w:rPr>
        <w:t>对</w:t>
      </w:r>
      <w:r>
        <w:rPr>
          <w:rFonts w:hint="eastAsia" w:ascii="宋体" w:hAnsi="宋体" w:eastAsia="宋体" w:cs="宋体"/>
          <w:color w:val="auto"/>
          <w:sz w:val="24"/>
          <w:szCs w:val="24"/>
        </w:rPr>
        <w:t>排风进行处理，满足环保、可持续的使用要求。</w:t>
      </w:r>
    </w:p>
    <w:p>
      <w:pPr>
        <w:pStyle w:val="36"/>
        <w:spacing w:line="360" w:lineRule="auto"/>
        <w:ind w:left="0" w:leftChars="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抗肿瘤药物调配间</w:t>
      </w:r>
      <w:r>
        <w:rPr>
          <w:rFonts w:hint="eastAsia" w:ascii="宋体" w:hAnsi="宋体" w:eastAsia="宋体" w:cs="宋体"/>
          <w:color w:val="auto"/>
          <w:sz w:val="24"/>
          <w:szCs w:val="24"/>
        </w:rPr>
        <w:t>排风与生物安全柜实现联动互锁，保持房间内的动态压差平衡。</w:t>
      </w:r>
    </w:p>
    <w:p>
      <w:pPr>
        <w:widowControl/>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④非控制区温湿度处理系统</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PIVAS</w:t>
      </w:r>
      <w:r>
        <w:rPr>
          <w:rFonts w:hint="eastAsia" w:ascii="宋体" w:hAnsi="宋体" w:eastAsia="宋体" w:cs="宋体"/>
          <w:bCs/>
          <w:color w:val="auto"/>
          <w:sz w:val="24"/>
          <w:szCs w:val="24"/>
          <w:lang w:val="en-US" w:eastAsia="zh-CN"/>
        </w:rPr>
        <w:t>非控制区采用风机盘管分别给非控制区区域进行温度控制。</w:t>
      </w:r>
    </w:p>
    <w:p>
      <w:pPr>
        <w:widowControl/>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⑤净化通风管道</w:t>
      </w:r>
    </w:p>
    <w:p>
      <w:pPr>
        <w:widowControl/>
        <w:spacing w:line="360" w:lineRule="auto"/>
        <w:ind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净化通风管道应采用优质镀锌钢板制作，钢板厚度及法兰规格均需符合要求。表面不得有规范规定不应有的缺陷。</w:t>
      </w:r>
    </w:p>
    <w:p>
      <w:pPr>
        <w:widowControl/>
        <w:spacing w:line="360" w:lineRule="auto"/>
        <w:ind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净化通风管道安装前应进行清洗、检漏，风管漏风量（率）应符合规范要求。</w:t>
      </w:r>
    </w:p>
    <w:p>
      <w:pPr>
        <w:widowControl/>
        <w:spacing w:line="360" w:lineRule="auto"/>
        <w:ind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净化通风管道支、吊架制作安装及刷漆需符合现行规范要求。</w:t>
      </w:r>
    </w:p>
    <w:p>
      <w:pPr>
        <w:widowControl/>
        <w:spacing w:line="360" w:lineRule="auto"/>
        <w:ind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 xml:space="preserve">净化通风管道检查孔、温度及风量测定孔制作组装需符合规范要求，安装位置应便于测量操作。                                     </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（5）给水部分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原现场具有总给水管，中标</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rPr>
        <w:t>在现场拆除过程中注意成品保护，中标</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rPr>
        <w:t>负责从最近给水点位接至后端洁具、龙头由中标人实施。</w:t>
      </w:r>
    </w:p>
    <w:p>
      <w:pPr>
        <w:numPr>
          <w:ilvl w:val="0"/>
          <w:numId w:val="0"/>
        </w:num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排水部分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PIVAS排水在所有区域内不设置地漏，其余排水部分均按照设计及国标要求实施。</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）电气部分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①总电缆及配电箱</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PIVAS计划新增一套功率为</w:t>
      </w:r>
      <w:r>
        <w:rPr>
          <w:rFonts w:hint="eastAsia" w:ascii="宋体" w:hAnsi="宋体" w:eastAsia="宋体" w:cs="宋体"/>
          <w:color w:val="auto"/>
          <w:sz w:val="24"/>
          <w:szCs w:val="24"/>
          <w:lang w:val="en-US" w:eastAsia="zh-CN"/>
        </w:rPr>
        <w:t>27.68</w:t>
      </w:r>
      <w:r>
        <w:rPr>
          <w:rFonts w:hint="eastAsia" w:ascii="宋体" w:hAnsi="宋体" w:eastAsia="宋体" w:cs="宋体"/>
          <w:color w:val="auto"/>
          <w:sz w:val="24"/>
          <w:szCs w:val="24"/>
        </w:rPr>
        <w:t>kw配电箱，新增</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根0.6/1kV-4x</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+1x</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电缆由</w:t>
      </w:r>
      <w:r>
        <w:rPr>
          <w:rFonts w:hint="eastAsia" w:ascii="宋体" w:hAnsi="宋体" w:eastAsia="宋体" w:cs="宋体"/>
          <w:color w:val="auto"/>
          <w:sz w:val="24"/>
          <w:szCs w:val="24"/>
          <w:lang w:val="en-US" w:eastAsia="zh-CN"/>
        </w:rPr>
        <w:t>中标人由院内配房引来，本项目</w:t>
      </w:r>
      <w:r>
        <w:rPr>
          <w:rFonts w:hint="eastAsia" w:ascii="宋体" w:hAnsi="宋体" w:eastAsia="宋体" w:cs="宋体"/>
          <w:color w:val="auto"/>
          <w:sz w:val="24"/>
          <w:szCs w:val="24"/>
        </w:rPr>
        <w:t>总配电箱及总配电箱以后部分由中标单位负责。</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kern w:val="0"/>
          <w:sz w:val="24"/>
          <w:highlight w:val="none"/>
        </w:rPr>
        <w:t>●</w:t>
      </w:r>
      <w:r>
        <w:rPr>
          <w:rFonts w:hint="eastAsia" w:ascii="宋体" w:hAnsi="宋体" w:eastAsia="宋体" w:cs="宋体"/>
          <w:color w:val="auto"/>
          <w:sz w:val="24"/>
          <w:szCs w:val="24"/>
        </w:rPr>
        <w:t>②本项目所采用灯具均采用斜边净化灯，不对吊顶破坏进行灯具安装，保证整体密封性。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③其余电气部分按照设计图纸及相关国标要求进行实施。</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）弱电部分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①网络、监控部分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1）网络、电话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因PIVAS数据处理量大，PIVAS内所使用网线、插座等均需要满足国家相关需求，同时因满足数据传输高效，项目所采用网线均要求为六类千兆传输网线。</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（9）配套设备部分</w:t>
      </w:r>
    </w:p>
    <w:p>
      <w:pPr>
        <w:numPr>
          <w:ilvl w:val="0"/>
          <w:numId w:val="0"/>
        </w:num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①生物安全柜</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外部尺寸(宽×深×高)：（1800-1850）mm×（750-800）mm×（2000-2050）mm；</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工作区尺寸(宽×深×高)：（1600-1650）mm×（600-650）mm×（600-650）mm；</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b/>
          <w:color w:val="auto"/>
          <w:kern w:val="0"/>
          <w:sz w:val="24"/>
          <w:highlight w:val="none"/>
        </w:rPr>
        <w:t>●</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过滤要求：送、排风过滤器为ULPA过滤器，过滤效率不低于 99.9995%（≥0.12μm颗粒）；</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b/>
          <w:color w:val="auto"/>
          <w:kern w:val="0"/>
          <w:sz w:val="24"/>
          <w:highlight w:val="none"/>
        </w:rPr>
        <w:t>●</w:t>
      </w: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洁净度等级为ISO 4级；</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b/>
          <w:color w:val="auto"/>
          <w:kern w:val="0"/>
          <w:sz w:val="24"/>
          <w:highlight w:val="none"/>
        </w:rPr>
        <w:t>●</w:t>
      </w: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排风要求：垂直层流负压机型，30%气流外排，70%气流循环，排风方向为顶出；</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6</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下降风速：≥0.35m/s；</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7</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流入风速：≥0.55m/s；</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8</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噪音：≤65dB（A）；</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9</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照度：≥900（Lx）；</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10</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箱体结构：外箱体冷轧钢板静电粉末喷涂；工作区304不锈钢一次成型，圆弧角内胆增加自净功能；</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11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工作状态监测与显示：彩色高清液晶人机对话界面，实时显示风速及过滤器寿命，并监控安全柜运行状态，同时提供报警功能；</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12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节能要求：具有节能值机模式，关闭前窗自动进入低速节能状态，打开前窗即刻进入正常运行状态；</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13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其他特殊要求：配置钢制喷塑外接排风圆管。</w:t>
      </w:r>
    </w:p>
    <w:p>
      <w:pPr>
        <w:bidi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②水平层流台</w:t>
      </w:r>
    </w:p>
    <w:p>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外部尺寸(宽×深×高)：（1800-1850）mm×（750-800）mm×（1850-1900）mm；</w:t>
      </w:r>
    </w:p>
    <w:p>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工作区尺寸(宽×深×高)：（1700-1750）mm×（550-600）mm×（700-750）mm；</w:t>
      </w:r>
    </w:p>
    <w:p>
      <w:pPr>
        <w:bidi w:val="0"/>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color w:val="auto"/>
          <w:kern w:val="0"/>
          <w:sz w:val="24"/>
          <w:highlight w:val="none"/>
        </w:rPr>
        <w:t>●</w:t>
      </w: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洁净度等级：ISO 5级</w:t>
      </w:r>
      <w:r>
        <w:rPr>
          <w:rFonts w:hint="eastAsia" w:ascii="宋体" w:hAnsi="宋体" w:cs="宋体"/>
          <w:b w:val="0"/>
          <w:bCs w:val="0"/>
          <w:color w:val="auto"/>
          <w:sz w:val="24"/>
          <w:szCs w:val="24"/>
          <w:highlight w:val="none"/>
          <w:lang w:val="en-US" w:eastAsia="zh-CN"/>
        </w:rPr>
        <w:t>或百级</w:t>
      </w:r>
      <w:r>
        <w:rPr>
          <w:rFonts w:hint="eastAsia" w:ascii="宋体" w:hAnsi="宋体" w:eastAsia="宋体" w:cs="宋体"/>
          <w:b w:val="0"/>
          <w:bCs w:val="0"/>
          <w:color w:val="auto"/>
          <w:sz w:val="24"/>
          <w:szCs w:val="24"/>
          <w:highlight w:val="none"/>
        </w:rPr>
        <w:t>；</w:t>
      </w:r>
    </w:p>
    <w:p>
      <w:pPr>
        <w:bidi w:val="0"/>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color w:val="auto"/>
          <w:kern w:val="0"/>
          <w:sz w:val="24"/>
          <w:highlight w:val="none"/>
        </w:rPr>
        <w:t>●</w:t>
      </w: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型式：上进风、水平层流；</w:t>
      </w:r>
    </w:p>
    <w:p>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平均风速：≥0.3m/s（可调）；</w:t>
      </w:r>
    </w:p>
    <w:p>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噪音：≤62dB（A）；</w:t>
      </w:r>
    </w:p>
    <w:p>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照度：≥300（Lx）；</w:t>
      </w:r>
    </w:p>
    <w:p>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工作台面结构：一体成型,304不锈钢台面；</w:t>
      </w:r>
    </w:p>
    <w:p>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适用人数：双人单面；</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③</w:t>
      </w:r>
      <w:r>
        <w:rPr>
          <w:rFonts w:hint="eastAsia" w:ascii="宋体" w:hAnsi="宋体" w:eastAsia="宋体" w:cs="宋体"/>
          <w:b/>
          <w:bCs/>
          <w:color w:val="auto"/>
          <w:sz w:val="24"/>
          <w:szCs w:val="24"/>
        </w:rPr>
        <w:t>PIVAS内不锈钢</w:t>
      </w:r>
      <w:r>
        <w:rPr>
          <w:rFonts w:hint="eastAsia" w:ascii="宋体" w:hAnsi="宋体" w:eastAsia="宋体" w:cs="宋体"/>
          <w:b/>
          <w:bCs/>
          <w:color w:val="auto"/>
          <w:sz w:val="24"/>
          <w:szCs w:val="24"/>
          <w:lang w:val="en-US" w:eastAsia="zh-CN"/>
        </w:rPr>
        <w:t>洗涤池、洗手池等</w:t>
      </w:r>
      <w:r>
        <w:rPr>
          <w:rFonts w:hint="eastAsia" w:ascii="宋体" w:hAnsi="宋体" w:eastAsia="宋体" w:cs="宋体"/>
          <w:b/>
          <w:bCs/>
          <w:color w:val="auto"/>
          <w:sz w:val="24"/>
          <w:szCs w:val="24"/>
        </w:rPr>
        <w:t>水池</w:t>
      </w:r>
    </w:p>
    <w:p>
      <w:pPr>
        <w:spacing w:line="360" w:lineRule="auto"/>
        <w:ind w:firstLine="482" w:firstLineChars="200"/>
        <w:rPr>
          <w:rFonts w:hint="eastAsia" w:ascii="宋体" w:hAnsi="宋体" w:eastAsia="宋体" w:cs="宋体"/>
          <w:color w:val="auto"/>
          <w:sz w:val="24"/>
          <w:szCs w:val="24"/>
          <w:lang w:eastAsia="zh-CN"/>
        </w:rPr>
      </w:pPr>
      <w:r>
        <w:rPr>
          <w:rFonts w:hint="eastAsia" w:ascii="宋体" w:hAnsi="宋体" w:eastAsia="宋体" w:cs="宋体"/>
          <w:b/>
          <w:color w:val="auto"/>
          <w:kern w:val="0"/>
          <w:sz w:val="24"/>
          <w:highlight w:val="none"/>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本项目提到的不锈钢水池均采用</w:t>
      </w:r>
      <w:r>
        <w:rPr>
          <w:rFonts w:hint="eastAsia" w:ascii="宋体" w:hAnsi="宋体" w:eastAsia="宋体" w:cs="宋体"/>
          <w:color w:val="auto"/>
          <w:sz w:val="24"/>
          <w:szCs w:val="24"/>
          <w:lang w:val="en-US" w:eastAsia="zh-CN"/>
        </w:rPr>
        <w:t>厚度不低于</w:t>
      </w:r>
      <w:r>
        <w:rPr>
          <w:rFonts w:hint="eastAsia" w:ascii="宋体" w:hAnsi="宋体" w:eastAsia="宋体" w:cs="宋体"/>
          <w:color w:val="auto"/>
          <w:sz w:val="24"/>
          <w:szCs w:val="24"/>
        </w:rPr>
        <w:t>1.2mm</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SUS304不锈钢</w:t>
      </w:r>
      <w:r>
        <w:rPr>
          <w:rFonts w:hint="eastAsia" w:ascii="宋体" w:hAnsi="宋体" w:cs="宋体"/>
          <w:color w:val="auto"/>
          <w:sz w:val="24"/>
          <w:szCs w:val="24"/>
          <w:lang w:eastAsia="zh-CN"/>
        </w:rPr>
        <w:t>；</w:t>
      </w:r>
    </w:p>
    <w:p>
      <w:pPr>
        <w:pStyle w:val="36"/>
        <w:spacing w:line="360" w:lineRule="auto"/>
        <w:ind w:left="0" w:leftChars="0"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所有不锈钢水池制品贴墙角位置均设置R55圆弧，保持水池底边与墙角圆弧及地面贴合，产品表面无毛刺、易清洁，所有不锈钢水池池深均需要根据PIVAS需求设定合适深度，保证水不外溅。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④不锈钢小推车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定制、设备尺寸约：700×350×800mm。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做法要求：</w:t>
      </w:r>
      <w:r>
        <w:rPr>
          <w:rFonts w:hint="eastAsia" w:ascii="宋体" w:hAnsi="宋体" w:eastAsia="宋体" w:cs="宋体"/>
          <w:color w:val="auto"/>
          <w:sz w:val="24"/>
          <w:szCs w:val="24"/>
          <w:lang w:val="en-US" w:eastAsia="zh-CN"/>
        </w:rPr>
        <w:t>均分3层，每层三侧护栏，顶部两侧配扶手。</w:t>
      </w:r>
    </w:p>
    <w:p>
      <w:pPr>
        <w:spacing w:line="360" w:lineRule="auto"/>
        <w:ind w:firstLine="482" w:firstLineChars="200"/>
        <w:rPr>
          <w:rFonts w:hint="eastAsia" w:ascii="宋体" w:hAnsi="宋体" w:cs="宋体"/>
          <w:color w:val="auto"/>
          <w:sz w:val="24"/>
          <w:szCs w:val="24"/>
          <w:lang w:val="en-US" w:eastAsia="zh-CN"/>
        </w:rPr>
      </w:pPr>
      <w:r>
        <w:rPr>
          <w:rFonts w:hint="eastAsia" w:ascii="宋体" w:hAnsi="宋体" w:eastAsia="宋体" w:cs="宋体"/>
          <w:b/>
          <w:color w:val="auto"/>
          <w:kern w:val="0"/>
          <w:sz w:val="24"/>
          <w:highlight w:val="none"/>
        </w:rPr>
        <w:t>●</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材质要求：304不锈钢材质</w:t>
      </w:r>
      <w:r>
        <w:rPr>
          <w:rFonts w:hint="eastAsia" w:ascii="宋体" w:hAnsi="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立柱及扶手￠25圆管制作，护栏￠12圆管制作，所有圆管不锈钢厚度不低于1.2mm，层板采用不低于1.0mm板制作，底部配4个3寸聚氨酯万向轮，对脚刹车。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⑤不锈钢双层摆药桌、不锈钢成品审核桌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highlight w:val="none"/>
          <w:lang w:val="en-US" w:eastAsia="zh-CN"/>
        </w:rPr>
        <w:t>定制、设备尺寸约：1000mm×800mm×800mm。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highlight w:val="none"/>
        </w:rPr>
        <w:t>做法要求：</w:t>
      </w:r>
      <w:r>
        <w:rPr>
          <w:rFonts w:hint="eastAsia" w:ascii="宋体" w:hAnsi="宋体" w:eastAsia="宋体" w:cs="宋体"/>
          <w:color w:val="auto"/>
          <w:sz w:val="24"/>
          <w:szCs w:val="24"/>
          <w:highlight w:val="none"/>
          <w:lang w:val="en-US" w:eastAsia="zh-CN"/>
        </w:rPr>
        <w:t>上下双层，脚架工字型加固，配调节脚垫，脚架较台面四周退45mm，方便靠墙。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color w:val="auto"/>
          <w:kern w:val="0"/>
          <w:sz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highlight w:val="none"/>
          <w:lang w:val="en-US" w:eastAsia="zh-CN"/>
        </w:rPr>
        <w:t>材质要求：304不锈钢材质</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lang w:val="en-US" w:eastAsia="zh-CN"/>
        </w:rPr>
        <w:t>）</w:t>
      </w:r>
      <w:r>
        <w:rPr>
          <w:rFonts w:hint="eastAsia" w:ascii="宋体" w:hAnsi="宋体" w:eastAsia="宋体" w:cs="宋体"/>
          <w:color w:val="auto"/>
          <w:sz w:val="24"/>
          <w:szCs w:val="24"/>
          <w:highlight w:val="none"/>
          <w:lang w:val="en-US" w:eastAsia="zh-CN"/>
        </w:rPr>
        <w:t>台面板材厚度不低于1.2mm</w:t>
      </w:r>
      <w:r>
        <w:rPr>
          <w:rFonts w:hint="eastAsia" w:ascii="宋体" w:hAnsi="宋体" w:eastAsia="宋体" w:cs="宋体"/>
          <w:color w:val="auto"/>
          <w:sz w:val="24"/>
          <w:szCs w:val="24"/>
          <w:lang w:val="en-US" w:eastAsia="zh-CN"/>
        </w:rPr>
        <w:t>的不锈钢</w:t>
      </w:r>
      <w:r>
        <w:rPr>
          <w:rFonts w:hint="eastAsia" w:ascii="宋体" w:hAnsi="宋体" w:eastAsia="宋体" w:cs="宋体"/>
          <w:color w:val="auto"/>
          <w:sz w:val="24"/>
          <w:szCs w:val="24"/>
          <w:highlight w:val="none"/>
          <w:lang w:val="en-US" w:eastAsia="zh-CN"/>
        </w:rPr>
        <w:t>，台面加固，脚架38×38mm方管制作。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⑥不锈钢置物架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定制、设备尺寸约：1200mm×500mm×1600mm。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做法要求：均分4层无护栏，每层留出沥水空间，底部配活动接水盘。</w:t>
      </w:r>
    </w:p>
    <w:p>
      <w:pPr>
        <w:pStyle w:val="36"/>
        <w:spacing w:line="360" w:lineRule="auto"/>
        <w:rPr>
          <w:rFonts w:hint="eastAsia" w:ascii="宋体" w:hAnsi="宋体" w:cs="宋体"/>
          <w:color w:val="auto"/>
          <w:sz w:val="24"/>
          <w:szCs w:val="24"/>
          <w:lang w:val="en-US" w:eastAsia="zh-CN"/>
        </w:rPr>
      </w:pPr>
      <w:r>
        <w:rPr>
          <w:rFonts w:hint="eastAsia" w:ascii="宋体" w:hAnsi="宋体" w:eastAsia="宋体" w:cs="宋体"/>
          <w:b/>
          <w:color w:val="auto"/>
          <w:kern w:val="0"/>
          <w:sz w:val="24"/>
          <w:highlight w:val="none"/>
        </w:rPr>
        <w:t>●</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材质要求：304不锈钢材质</w:t>
      </w:r>
      <w:r>
        <w:rPr>
          <w:rFonts w:hint="eastAsia" w:ascii="宋体" w:hAnsi="宋体" w:cs="宋体"/>
          <w:color w:val="auto"/>
          <w:sz w:val="24"/>
          <w:szCs w:val="24"/>
          <w:lang w:val="en-US" w:eastAsia="zh-CN"/>
        </w:rPr>
        <w:t>。</w:t>
      </w:r>
    </w:p>
    <w:p>
      <w:pPr>
        <w:pStyle w:val="36"/>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立柱采用￠38圆管制作，圆管板材不低于1.2mm，每层外框采用38×25矩管制作，每层台面采用25×25方管间隔制作，外框矩管、台面方管板材厚度不低于1.0mm的不锈钢，接水盘板材厚度不低于1.0mm的不锈钢，配4个聚氨酯万向轮，对脚刹车。</w:t>
      </w:r>
    </w:p>
    <w:p>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⑦不锈钢洁具架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定制、设备尺寸约：800mm×500mm×1700mm。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做法要求：</w:t>
      </w:r>
      <w:r>
        <w:rPr>
          <w:rFonts w:hint="eastAsia" w:ascii="宋体" w:hAnsi="宋体" w:eastAsia="宋体" w:cs="宋体"/>
          <w:color w:val="auto"/>
          <w:sz w:val="24"/>
          <w:szCs w:val="24"/>
          <w:lang w:val="en-US" w:eastAsia="zh-CN"/>
        </w:rPr>
        <w:t>悬挂式安装，3层悬空横杆，每层均分5个挂钩，挂钩同侧，底部配活动接水盘。</w:t>
      </w:r>
    </w:p>
    <w:p>
      <w:pPr>
        <w:pStyle w:val="36"/>
        <w:spacing w:line="360" w:lineRule="auto"/>
        <w:rPr>
          <w:rFonts w:hint="eastAsia" w:ascii="宋体" w:hAnsi="宋体" w:cs="宋体"/>
          <w:color w:val="auto"/>
          <w:sz w:val="24"/>
          <w:szCs w:val="24"/>
          <w:lang w:val="en-US" w:eastAsia="zh-CN"/>
        </w:rPr>
      </w:pPr>
      <w:r>
        <w:rPr>
          <w:rFonts w:hint="eastAsia" w:ascii="宋体" w:hAnsi="宋体" w:eastAsia="宋体" w:cs="宋体"/>
          <w:b/>
          <w:color w:val="auto"/>
          <w:kern w:val="0"/>
          <w:sz w:val="24"/>
          <w:highlight w:val="none"/>
        </w:rPr>
        <w:t>●</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材质要求：304不锈钢材质</w:t>
      </w:r>
      <w:r>
        <w:rPr>
          <w:rFonts w:hint="eastAsia" w:ascii="宋体" w:hAnsi="宋体" w:cs="宋体"/>
          <w:color w:val="auto"/>
          <w:sz w:val="24"/>
          <w:szCs w:val="24"/>
          <w:lang w:val="en-US" w:eastAsia="zh-CN"/>
        </w:rPr>
        <w:t>。</w:t>
      </w:r>
    </w:p>
    <w:p>
      <w:pPr>
        <w:pStyle w:val="36"/>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横杆采用38×38方管制作，挂钩采用￠5圆钢制作，接水盘、横杆方管板材厚度采用不低于1.0mm的不锈钢。</w:t>
      </w:r>
    </w:p>
    <w:p>
      <w:pPr>
        <w:keepNext w:val="0"/>
        <w:keepLines w:val="0"/>
        <w:pageBreakBefore w:val="0"/>
        <w:widowControl w:val="0"/>
        <w:tabs>
          <w:tab w:val="left" w:pos="63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bCs/>
          <w:color w:val="auto"/>
          <w:sz w:val="24"/>
          <w:highlight w:val="none"/>
        </w:rPr>
        <w:t>、</w:t>
      </w:r>
      <w:r>
        <w:rPr>
          <w:rFonts w:hint="eastAsia" w:ascii="宋体" w:hAnsi="宋体" w:eastAsia="宋体" w:cs="宋体"/>
          <w:b/>
          <w:color w:val="auto"/>
          <w:sz w:val="24"/>
          <w:highlight w:val="none"/>
        </w:rPr>
        <w:t>供货要求：</w:t>
      </w:r>
    </w:p>
    <w:p>
      <w:pPr>
        <w:tabs>
          <w:tab w:val="left" w:pos="630"/>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1、供方所供的货物必须为全新的，符合国家标准的合格产品；</w:t>
      </w:r>
    </w:p>
    <w:p>
      <w:pPr>
        <w:tabs>
          <w:tab w:val="left" w:pos="630"/>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2、所供货物不会侵犯任何第三方知识产权；</w:t>
      </w:r>
    </w:p>
    <w:p>
      <w:pPr>
        <w:tabs>
          <w:tab w:val="left" w:pos="630"/>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3、送货地址：采购方指定地点</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六、其他</w:t>
      </w:r>
      <w:r>
        <w:rPr>
          <w:rFonts w:hint="eastAsia" w:ascii="宋体" w:hAnsi="宋体" w:eastAsia="宋体" w:cs="宋体"/>
          <w:b/>
          <w:bCs/>
          <w:color w:val="auto"/>
          <w:sz w:val="24"/>
          <w:highlight w:val="none"/>
        </w:rPr>
        <w:t>要求：</w:t>
      </w:r>
    </w:p>
    <w:p>
      <w:pPr>
        <w:pStyle w:val="14"/>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zh-TW" w:eastAsia="zh-TW"/>
        </w:rPr>
      </w:pPr>
      <w:r>
        <w:rPr>
          <w:rFonts w:hint="eastAsia" w:ascii="宋体" w:hAnsi="宋体" w:eastAsia="宋体" w:cs="宋体"/>
          <w:b/>
          <w:color w:val="auto"/>
          <w:kern w:val="0"/>
          <w:sz w:val="24"/>
          <w:highlight w:val="none"/>
        </w:rPr>
        <w:t>●</w:t>
      </w:r>
      <w:r>
        <w:rPr>
          <w:rFonts w:hint="eastAsia" w:ascii="宋体" w:hAnsi="宋体" w:eastAsia="宋体" w:cs="宋体"/>
          <w:b/>
          <w:bCs/>
          <w:color w:val="auto"/>
          <w:sz w:val="24"/>
          <w:highlight w:val="none"/>
          <w:lang w:val="en-US" w:eastAsia="zh-CN"/>
        </w:rPr>
        <w:t>1、合同签订后15个工作日内安装调试完毕</w:t>
      </w:r>
      <w:r>
        <w:rPr>
          <w:rFonts w:hint="eastAsia" w:ascii="宋体" w:hAnsi="宋体" w:eastAsia="宋体" w:cs="宋体"/>
          <w:b/>
          <w:bCs/>
          <w:color w:val="auto"/>
          <w:sz w:val="24"/>
          <w:highlight w:val="none"/>
          <w:lang w:val="zh-TW" w:eastAsia="zh-TW"/>
        </w:rPr>
        <w:t>。</w:t>
      </w:r>
    </w:p>
    <w:p>
      <w:pPr>
        <w:pStyle w:val="14"/>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val="zh-TW" w:eastAsia="zh-CN"/>
        </w:rPr>
        <w:t>质保期为</w:t>
      </w:r>
      <w:r>
        <w:rPr>
          <w:rFonts w:hint="eastAsia" w:ascii="宋体" w:hAnsi="宋体" w:eastAsia="宋体" w:cs="宋体"/>
          <w:b/>
          <w:bCs/>
          <w:color w:val="auto"/>
          <w:sz w:val="24"/>
          <w:highlight w:val="none"/>
          <w:lang w:val="zh-TW" w:eastAsia="zh-TW"/>
        </w:rPr>
        <w:t>验收合格之日起</w:t>
      </w:r>
      <w:r>
        <w:rPr>
          <w:rFonts w:hint="eastAsia" w:ascii="宋体" w:hAnsi="宋体" w:eastAsia="宋体" w:cs="宋体"/>
          <w:b/>
          <w:bCs/>
          <w:color w:val="auto"/>
          <w:sz w:val="24"/>
          <w:highlight w:val="none"/>
          <w:lang w:val="en-US" w:eastAsia="zh-CN"/>
        </w:rPr>
        <w:t xml:space="preserve">1年。 </w:t>
      </w:r>
    </w:p>
    <w:p>
      <w:pPr>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、售后服务要求：</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1、</w:t>
      </w:r>
      <w:r>
        <w:rPr>
          <w:rFonts w:hint="eastAsia" w:ascii="宋体" w:hAnsi="宋体" w:eastAsia="宋体" w:cs="宋体"/>
          <w:color w:val="auto"/>
          <w:sz w:val="24"/>
          <w:highlight w:val="none"/>
          <w:lang w:val="en-US" w:eastAsia="zh-CN"/>
        </w:rPr>
        <w:t>中标方</w:t>
      </w:r>
      <w:r>
        <w:rPr>
          <w:rFonts w:hint="eastAsia" w:ascii="宋体" w:hAnsi="宋体" w:eastAsia="宋体" w:cs="宋体"/>
          <w:color w:val="auto"/>
          <w:sz w:val="24"/>
          <w:highlight w:val="none"/>
        </w:rPr>
        <w:t>在合同生效后在 3个月内，服务质量达不到</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有权终止合同，由此产生的一切责任和后果由</w:t>
      </w:r>
      <w:r>
        <w:rPr>
          <w:rFonts w:hint="eastAsia" w:ascii="宋体" w:hAnsi="宋体" w:eastAsia="宋体" w:cs="宋体"/>
          <w:color w:val="auto"/>
          <w:sz w:val="24"/>
          <w:highlight w:val="none"/>
          <w:lang w:val="en-US" w:eastAsia="zh-CN"/>
        </w:rPr>
        <w:t>中标方</w:t>
      </w:r>
      <w:r>
        <w:rPr>
          <w:rFonts w:hint="eastAsia" w:ascii="宋体" w:hAnsi="宋体" w:eastAsia="宋体" w:cs="宋体"/>
          <w:color w:val="auto"/>
          <w:sz w:val="24"/>
          <w:highlight w:val="none"/>
        </w:rPr>
        <w:t>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2、中标方</w:t>
      </w:r>
      <w:r>
        <w:rPr>
          <w:rFonts w:hint="eastAsia" w:ascii="宋体" w:hAnsi="宋体" w:eastAsia="宋体" w:cs="宋体"/>
          <w:color w:val="auto"/>
          <w:sz w:val="24"/>
          <w:highlight w:val="none"/>
        </w:rPr>
        <w:t>在质保期内接到用户单位的电话后，</w:t>
      </w:r>
      <w:r>
        <w:rPr>
          <w:rFonts w:hint="eastAsia" w:ascii="宋体" w:hAnsi="宋体" w:eastAsia="宋体" w:cs="宋体"/>
          <w:color w:val="auto"/>
          <w:sz w:val="24"/>
          <w:highlight w:val="none"/>
          <w:lang w:val="en-US" w:eastAsia="zh-CN"/>
        </w:rPr>
        <w:t>中标方</w:t>
      </w:r>
      <w:r>
        <w:rPr>
          <w:rFonts w:hint="eastAsia" w:ascii="宋体" w:hAnsi="宋体" w:eastAsia="宋体" w:cs="宋体"/>
          <w:color w:val="auto"/>
          <w:sz w:val="24"/>
          <w:highlight w:val="none"/>
        </w:rPr>
        <w:t>或授权技术服务机构应在30分钟内技术响应，2 小时以内到现场，提供不间断的服务直到结束，保证用户单位的正常运行。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中标方</w:t>
      </w:r>
      <w:r>
        <w:rPr>
          <w:rFonts w:hint="eastAsia" w:ascii="宋体" w:hAnsi="宋体" w:eastAsia="宋体" w:cs="宋体"/>
          <w:color w:val="auto"/>
          <w:sz w:val="24"/>
          <w:highlight w:val="none"/>
        </w:rPr>
        <w:t>应提供7×24小时的电话咨询、远程连接支持等各类技术支持服务，当无法解决问题情况时，及时提供现场支持服务。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当发生软件系统不能运行、应用不能正常使用等重大故障,乙方需在3小时内派遣专业技术人员到现场处理，并承诺1小时内恢复运行。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现场解决不了的立即采取使用备件更换故障件,8小时内完成更换。</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bCs/>
          <w:color w:val="auto"/>
          <w:sz w:val="24"/>
          <w:highlight w:val="none"/>
        </w:rPr>
        <w:t>质保期内的维修费用全部由中标单位负责，质保期外的维修酌情以成本价收费。在保修期内供方必须不得以任何理由影响用户的正常使用。</w:t>
      </w:r>
    </w:p>
    <w:p>
      <w:pPr>
        <w:tabs>
          <w:tab w:val="left" w:pos="63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八</w:t>
      </w:r>
      <w:r>
        <w:rPr>
          <w:rFonts w:hint="eastAsia" w:ascii="宋体" w:hAnsi="宋体" w:eastAsia="宋体" w:cs="宋体"/>
          <w:b/>
          <w:color w:val="auto"/>
          <w:sz w:val="24"/>
          <w:highlight w:val="none"/>
        </w:rPr>
        <w:t>、培训要求：</w:t>
      </w:r>
    </w:p>
    <w:p>
      <w:pPr>
        <w:tabs>
          <w:tab w:val="left" w:pos="630"/>
        </w:tabs>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内容包括本项目涉及的软件、硬件使用与维护，直到操作人员会操作为止。</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、费用支付：</w:t>
      </w:r>
    </w:p>
    <w:p>
      <w:pPr>
        <w:pageBreakBefore w:val="0"/>
        <w:widowControl w:val="0"/>
        <w:kinsoku/>
        <w:wordWrap/>
        <w:overflowPunct/>
        <w:topLinePunct w:val="0"/>
        <w:autoSpaceDE/>
        <w:autoSpaceDN/>
        <w:bidi w:val="0"/>
        <w:snapToGrid w:val="0"/>
        <w:spacing w:beforeAutospacing="0" w:afterAutospacing="0" w:line="42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eastAsia="zh-CN"/>
        </w:rPr>
        <w:t>）合同签订前，成交供应商向采购人缴纳合同金额</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%的履约保证金（以支票、汇票、本票或者金融机构、担保机构出具的保函等非现金形式提交。）；</w:t>
      </w:r>
    </w:p>
    <w:p>
      <w:pPr>
        <w:pageBreakBefore w:val="0"/>
        <w:widowControl w:val="0"/>
        <w:kinsoku/>
        <w:wordWrap/>
        <w:overflowPunct/>
        <w:topLinePunct w:val="0"/>
        <w:autoSpaceDE/>
        <w:autoSpaceDN/>
        <w:bidi w:val="0"/>
        <w:snapToGrid w:val="0"/>
        <w:spacing w:beforeAutospacing="0" w:afterAutospacing="0" w:line="42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工程竣工验收合格</w:t>
      </w:r>
      <w:r>
        <w:rPr>
          <w:rFonts w:hint="eastAsia" w:ascii="宋体" w:hAnsi="宋体" w:eastAsia="宋体" w:cs="宋体"/>
          <w:color w:val="auto"/>
          <w:kern w:val="0"/>
          <w:sz w:val="24"/>
          <w:szCs w:val="24"/>
          <w:highlight w:val="none"/>
          <w:lang w:eastAsia="zh-CN"/>
        </w:rPr>
        <w:t>后，成交供应商提供合法有效的增值税发票，采购人收到发票后</w:t>
      </w:r>
      <w:r>
        <w:rPr>
          <w:rFonts w:hint="eastAsia" w:ascii="宋体" w:hAnsi="宋体" w:eastAsia="宋体" w:cs="宋体"/>
          <w:color w:val="auto"/>
          <w:kern w:val="0"/>
          <w:sz w:val="24"/>
          <w:szCs w:val="24"/>
          <w:highlight w:val="none"/>
          <w:lang w:val="en-US" w:eastAsia="zh-CN"/>
        </w:rPr>
        <w:t>10个工作日内</w:t>
      </w:r>
      <w:r>
        <w:rPr>
          <w:rFonts w:hint="eastAsia" w:ascii="宋体" w:hAnsi="宋体" w:eastAsia="宋体" w:cs="宋体"/>
          <w:color w:val="auto"/>
          <w:kern w:val="0"/>
          <w:sz w:val="24"/>
          <w:szCs w:val="24"/>
          <w:highlight w:val="none"/>
          <w:lang w:eastAsia="zh-CN"/>
        </w:rPr>
        <w:t>支付</w:t>
      </w:r>
      <w:r>
        <w:rPr>
          <w:rFonts w:hint="eastAsia" w:ascii="宋体" w:hAnsi="宋体" w:eastAsia="宋体" w:cs="宋体"/>
          <w:color w:val="auto"/>
          <w:kern w:val="0"/>
          <w:sz w:val="24"/>
          <w:szCs w:val="24"/>
          <w:highlight w:val="none"/>
        </w:rPr>
        <w:t>至合同金额的</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eastAsia="zh-CN"/>
        </w:rPr>
        <w:t>；</w:t>
      </w:r>
    </w:p>
    <w:p>
      <w:pPr>
        <w:pageBreakBefore w:val="0"/>
        <w:widowControl w:val="0"/>
        <w:kinsoku/>
        <w:wordWrap/>
        <w:overflowPunct/>
        <w:topLinePunct w:val="0"/>
        <w:autoSpaceDE/>
        <w:autoSpaceDN/>
        <w:bidi w:val="0"/>
        <w:snapToGrid w:val="0"/>
        <w:spacing w:beforeAutospacing="0" w:afterAutospacing="0" w:line="42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审计结束后</w:t>
      </w:r>
      <w:r>
        <w:rPr>
          <w:rFonts w:hint="eastAsia" w:ascii="宋体" w:hAnsi="宋体" w:eastAsia="宋体" w:cs="宋体"/>
          <w:color w:val="auto"/>
          <w:kern w:val="0"/>
          <w:sz w:val="24"/>
          <w:szCs w:val="24"/>
          <w:highlight w:val="none"/>
          <w:lang w:eastAsia="zh-CN"/>
        </w:rPr>
        <w:t>，成交供应商提供合法有效的增值税发票，采购人在收到发票后</w:t>
      </w:r>
      <w:r>
        <w:rPr>
          <w:rFonts w:hint="eastAsia" w:ascii="宋体" w:hAnsi="宋体" w:eastAsia="宋体" w:cs="宋体"/>
          <w:color w:val="auto"/>
          <w:kern w:val="0"/>
          <w:sz w:val="24"/>
          <w:szCs w:val="24"/>
          <w:highlight w:val="none"/>
          <w:lang w:val="en-US" w:eastAsia="zh-CN"/>
        </w:rPr>
        <w:t>10个工作日</w:t>
      </w:r>
      <w:r>
        <w:rPr>
          <w:rFonts w:hint="eastAsia" w:ascii="宋体" w:hAnsi="宋体" w:eastAsia="宋体" w:cs="宋体"/>
          <w:color w:val="auto"/>
          <w:kern w:val="0"/>
          <w:sz w:val="24"/>
          <w:szCs w:val="24"/>
          <w:highlight w:val="none"/>
          <w:lang w:eastAsia="zh-CN"/>
        </w:rPr>
        <w:t>支付</w:t>
      </w:r>
      <w:r>
        <w:rPr>
          <w:rFonts w:hint="eastAsia" w:ascii="宋体" w:hAnsi="宋体" w:eastAsia="宋体" w:cs="宋体"/>
          <w:color w:val="auto"/>
          <w:kern w:val="0"/>
          <w:sz w:val="24"/>
          <w:szCs w:val="24"/>
          <w:highlight w:val="none"/>
        </w:rPr>
        <w:t>至审定金额的97%</w:t>
      </w:r>
      <w:r>
        <w:rPr>
          <w:rFonts w:hint="eastAsia" w:ascii="宋体" w:hAnsi="宋体" w:eastAsia="宋体" w:cs="宋体"/>
          <w:color w:val="auto"/>
          <w:kern w:val="0"/>
          <w:sz w:val="24"/>
          <w:szCs w:val="24"/>
          <w:highlight w:val="none"/>
          <w:lang w:eastAsia="zh-CN"/>
        </w:rPr>
        <w:t>；</w:t>
      </w:r>
    </w:p>
    <w:p>
      <w:pPr>
        <w:pageBreakBefore w:val="0"/>
        <w:widowControl w:val="0"/>
        <w:kinsoku/>
        <w:wordWrap/>
        <w:overflowPunct/>
        <w:topLinePunct w:val="0"/>
        <w:autoSpaceDE/>
        <w:autoSpaceDN/>
        <w:bidi w:val="0"/>
        <w:snapToGrid w:val="0"/>
        <w:spacing w:beforeAutospacing="0" w:afterAutospacing="0"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（四）剩余</w:t>
      </w:r>
      <w:r>
        <w:rPr>
          <w:rFonts w:hint="eastAsia" w:ascii="宋体" w:hAnsi="宋体" w:eastAsia="宋体" w:cs="宋体"/>
          <w:color w:val="auto"/>
          <w:kern w:val="0"/>
          <w:sz w:val="24"/>
          <w:szCs w:val="24"/>
          <w:highlight w:val="none"/>
        </w:rPr>
        <w:t>3%在工程质保期满后15个工作日内一次性无息退还；</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履约保证金无息退还时间</w:t>
      </w:r>
      <w:r>
        <w:rPr>
          <w:rFonts w:hint="eastAsia" w:ascii="宋体" w:hAnsi="宋体" w:eastAsia="宋体" w:cs="宋体"/>
          <w:color w:val="auto"/>
          <w:kern w:val="0"/>
          <w:sz w:val="24"/>
          <w:szCs w:val="24"/>
          <w:highlight w:val="none"/>
          <w:lang w:eastAsia="zh-CN"/>
        </w:rPr>
        <w:t>：工程竣工验收合格后，</w:t>
      </w:r>
      <w:r>
        <w:rPr>
          <w:rFonts w:hint="eastAsia" w:ascii="宋体" w:hAnsi="宋体" w:eastAsia="宋体" w:cs="宋体"/>
          <w:color w:val="auto"/>
          <w:kern w:val="0"/>
          <w:sz w:val="24"/>
          <w:szCs w:val="24"/>
          <w:highlight w:val="none"/>
          <w:lang w:val="en-US" w:eastAsia="zh-CN"/>
        </w:rPr>
        <w:t>15日内无息退还</w:t>
      </w:r>
      <w:r>
        <w:rPr>
          <w:rFonts w:hint="eastAsia" w:ascii="宋体" w:hAnsi="宋体" w:eastAsia="宋体" w:cs="宋体"/>
          <w:color w:val="auto"/>
          <w:sz w:val="24"/>
          <w:szCs w:val="24"/>
          <w:highlight w:val="none"/>
          <w:lang w:val="en-US" w:eastAsia="zh-CN"/>
        </w:rPr>
        <w:t>。</w:t>
      </w:r>
    </w:p>
    <w:p>
      <w:pPr>
        <w:snapToGrid w:val="0"/>
        <w:spacing w:line="360" w:lineRule="auto"/>
        <w:rPr>
          <w:rFonts w:hint="eastAsia" w:ascii="宋体" w:hAnsi="宋体" w:eastAsia="宋体" w:cs="宋体"/>
          <w:b/>
          <w:color w:val="auto"/>
          <w:kern w:val="0"/>
          <w:sz w:val="24"/>
          <w:highlight w:val="none"/>
        </w:rPr>
      </w:pPr>
    </w:p>
    <w:p>
      <w:pPr>
        <w:snapToGrid w:val="0"/>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kern w:val="0"/>
          <w:sz w:val="24"/>
          <w:highlight w:val="none"/>
        </w:rPr>
        <w:t>本部分中所有带“●”条款，投标人必须作出实质性响应，如有任意一条未响应或不满足或未按要求提供证明材料，将被视为无效。</w:t>
      </w:r>
    </w:p>
    <w:p>
      <w:pPr>
        <w:kinsoku/>
        <w:wordWrap/>
        <w:overflowPunct/>
        <w:topLinePunct w:val="0"/>
        <w:bidi w:val="0"/>
        <w:spacing w:line="360" w:lineRule="auto"/>
        <w:jc w:val="center"/>
        <w:textAlignment w:val="auto"/>
        <w:rPr>
          <w:rFonts w:hint="eastAsia" w:ascii="宋体" w:hAnsi="宋体" w:eastAsia="宋体" w:cs="宋体"/>
          <w:b/>
          <w:bCs/>
          <w:color w:val="auto"/>
          <w:sz w:val="32"/>
          <w:szCs w:val="32"/>
          <w:highlight w:val="none"/>
          <w:u w:val="none"/>
          <w:lang w:eastAsia="zh-CN"/>
        </w:rPr>
      </w:pPr>
      <w:r>
        <w:rPr>
          <w:rFonts w:hint="eastAsia" w:ascii="宋体" w:hAnsi="宋体" w:eastAsia="宋体" w:cs="宋体"/>
          <w:color w:val="auto"/>
          <w:sz w:val="44"/>
          <w:szCs w:val="44"/>
          <w:highlight w:val="none"/>
        </w:rPr>
        <w:br w:type="page"/>
      </w:r>
      <w:bookmarkEnd w:id="10"/>
      <w:bookmarkStart w:id="19" w:name="_Toc10725994"/>
      <w:r>
        <w:rPr>
          <w:rFonts w:hint="eastAsia" w:ascii="宋体" w:hAnsi="宋体" w:eastAsia="宋体" w:cs="宋体"/>
          <w:color w:val="auto"/>
          <w:sz w:val="44"/>
          <w:szCs w:val="44"/>
          <w:highlight w:val="none"/>
        </w:rPr>
        <w:t xml:space="preserve">第四部分 </w:t>
      </w:r>
      <w:bookmarkEnd w:id="19"/>
      <w:r>
        <w:rPr>
          <w:rFonts w:hint="eastAsia" w:ascii="宋体" w:hAnsi="宋体" w:eastAsia="宋体" w:cs="宋体"/>
          <w:color w:val="auto"/>
          <w:sz w:val="44"/>
          <w:szCs w:val="44"/>
          <w:highlight w:val="none"/>
          <w:lang w:eastAsia="zh-CN"/>
        </w:rPr>
        <w:t>合同主要条款和格式合同（样本）</w:t>
      </w:r>
    </w:p>
    <w:p>
      <w:pPr>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lang w:eastAsia="zh-CN"/>
        </w:rPr>
        <w:t>第一部分</w:t>
      </w:r>
      <w:r>
        <w:rPr>
          <w:rFonts w:hint="eastAsia" w:ascii="宋体" w:hAnsi="宋体" w:eastAsia="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eastAsia="zh-CN"/>
        </w:rPr>
        <w:t>合同协议书</w:t>
      </w:r>
    </w:p>
    <w:p>
      <w:pPr>
        <w:keepNext w:val="0"/>
        <w:keepLines w:val="0"/>
        <w:kinsoku/>
        <w:wordWrap/>
        <w:overflowPunct/>
        <w:topLinePunct w:val="0"/>
        <w:bidi w:val="0"/>
        <w:spacing w:line="40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bCs/>
          <w:color w:val="auto"/>
          <w:sz w:val="24"/>
          <w:szCs w:val="24"/>
          <w:highlight w:val="none"/>
          <w:u w:val="single"/>
          <w:lang w:eastAsia="zh-CN"/>
        </w:rPr>
        <w:t>重庆市荣昌区人民医院</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 xml:space="preserve">                        </w:t>
      </w:r>
    </w:p>
    <w:p>
      <w:pPr>
        <w:keepNext w:val="0"/>
        <w:keepLines w:val="0"/>
        <w:kinsoku/>
        <w:wordWrap/>
        <w:overflowPunct/>
        <w:topLinePunct w:val="0"/>
        <w:bidi w:val="0"/>
        <w:spacing w:line="400" w:lineRule="exact"/>
        <w:textAlignment w:val="auto"/>
        <w:rPr>
          <w:rFonts w:hint="eastAsia" w:ascii="宋体" w:hAnsi="宋体" w:eastAsia="宋体" w:cs="宋体"/>
          <w:b/>
          <w:color w:val="auto"/>
          <w:sz w:val="24"/>
          <w:szCs w:val="24"/>
          <w:highlight w:val="none"/>
          <w:u w:val="single"/>
          <w:lang w:val="en-US"/>
        </w:rPr>
      </w:pPr>
      <w:r>
        <w:rPr>
          <w:rFonts w:hint="eastAsia" w:ascii="宋体" w:hAnsi="宋体" w:eastAsia="宋体" w:cs="宋体"/>
          <w:b/>
          <w:color w:val="auto"/>
          <w:sz w:val="24"/>
          <w:szCs w:val="24"/>
          <w:highlight w:val="none"/>
          <w:lang w:eastAsia="zh-CN"/>
        </w:rPr>
        <w:t>承包人</w:t>
      </w:r>
      <w:r>
        <w:rPr>
          <w:rFonts w:hint="eastAsia" w:ascii="宋体" w:hAnsi="宋体" w:eastAsia="宋体" w:cs="宋体"/>
          <w:b/>
          <w:color w:val="auto"/>
          <w:sz w:val="24"/>
          <w:szCs w:val="24"/>
          <w:highlight w:val="none"/>
        </w:rPr>
        <w:t>（全称）：</w:t>
      </w:r>
      <w:r>
        <w:rPr>
          <w:rFonts w:hint="eastAsia" w:ascii="宋体" w:hAnsi="宋体" w:eastAsia="宋体" w:cs="宋体"/>
          <w:b/>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根据《中华人民共和国民法典》、《中华人民共和国建筑法》及有关法律规定，遵循平等、自愿、公平和诚实信用的原则，双方就</w:t>
      </w:r>
      <w:r>
        <w:rPr>
          <w:rFonts w:hint="eastAsia" w:ascii="宋体" w:hAnsi="宋体" w:cs="宋体"/>
          <w:color w:val="auto"/>
          <w:szCs w:val="21"/>
          <w:u w:val="single"/>
        </w:rPr>
        <w:t>重庆市荣昌区人民医院</w:t>
      </w:r>
      <w:r>
        <w:rPr>
          <w:rFonts w:hint="eastAsia" w:ascii="宋体" w:hAnsi="宋体" w:cs="宋体"/>
          <w:color w:val="auto"/>
          <w:szCs w:val="21"/>
          <w:u w:val="single"/>
          <w:lang w:eastAsia="zh-CN"/>
        </w:rPr>
        <w:t>内科7楼静脉输液配置中心改造项目</w:t>
      </w:r>
      <w:r>
        <w:rPr>
          <w:rFonts w:hint="eastAsia" w:ascii="宋体" w:hAnsi="宋体" w:eastAsia="宋体" w:cs="宋体"/>
          <w:color w:val="auto"/>
          <w:sz w:val="24"/>
          <w:szCs w:val="24"/>
          <w:highlight w:val="none"/>
          <w:lang w:val="en-US" w:eastAsia="zh-CN"/>
        </w:rPr>
        <w:t>施工及有关事项协商一致，共同达成如下协议：</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一、工程概况</w:t>
      </w:r>
    </w:p>
    <w:p>
      <w:pPr>
        <w:keepNext w:val="0"/>
        <w:keepLines w:val="0"/>
        <w:pageBreakBefore w:val="0"/>
        <w:widowControl w:val="0"/>
        <w:kinsoku/>
        <w:wordWrap/>
        <w:overflowPunct/>
        <w:topLinePunct w:val="0"/>
        <w:bidi w:val="0"/>
        <w:spacing w:line="400" w:lineRule="exact"/>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1.工程名称：</w:t>
      </w:r>
      <w:r>
        <w:rPr>
          <w:rFonts w:hint="eastAsia" w:ascii="宋体" w:hAnsi="宋体" w:cs="宋体"/>
          <w:color w:val="auto"/>
          <w:szCs w:val="21"/>
          <w:u w:val="single"/>
        </w:rPr>
        <w:t>重庆市荣昌区人民医院</w:t>
      </w:r>
      <w:r>
        <w:rPr>
          <w:rFonts w:hint="eastAsia" w:ascii="宋体" w:hAnsi="宋体" w:cs="宋体"/>
          <w:color w:val="auto"/>
          <w:szCs w:val="21"/>
          <w:u w:val="single"/>
          <w:lang w:eastAsia="zh-CN"/>
        </w:rPr>
        <w:t>内科7楼静脉输液配置中心改造项目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pacing w:line="40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2.工程地点</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重庆市荣昌区人民医院（采购人指定位置）</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pacing w:line="40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3.工程立项批准文号</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bidi w:val="0"/>
        <w:spacing w:line="400" w:lineRule="exact"/>
        <w:ind w:firstLine="470"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4.资金来源</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自筹资金</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pPr>
        <w:pageBreakBefore w:val="0"/>
        <w:widowControl w:val="0"/>
        <w:numPr>
          <w:ilvl w:val="0"/>
          <w:numId w:val="0"/>
        </w:numPr>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5.工程内容</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重庆市荣昌区人民医院内科7楼建设内容为新建静脉输液配置中心的改造，包含装饰装修工程、暖通工程、给排水工程、强电工程、弱电工程以及静脉输液配置中心运行所需要的相关配套设备等。</w:t>
      </w:r>
    </w:p>
    <w:p>
      <w:pPr>
        <w:pageBreakBefore w:val="0"/>
        <w:widowControl w:val="0"/>
        <w:numPr>
          <w:ilvl w:val="0"/>
          <w:numId w:val="0"/>
        </w:numPr>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6.工程范围：</w:t>
      </w:r>
      <w:r>
        <w:rPr>
          <w:rFonts w:hint="eastAsia" w:ascii="宋体" w:hAnsi="宋体" w:eastAsia="宋体" w:cs="宋体"/>
          <w:color w:val="auto"/>
          <w:sz w:val="24"/>
          <w:szCs w:val="24"/>
          <w:highlight w:val="none"/>
          <w:u w:val="single"/>
          <w:lang w:val="en-US" w:eastAsia="zh-CN"/>
        </w:rPr>
        <w:t>重庆市荣昌区人民医院内科楼7楼静脉输液配置中心工程的吊顶天棚、隔墙隔断、门窗、暖通空调、相关设备、强弱电、温湿度控制等设计细部深化、设备供货、工程施工、调试、验收的交钥匙工程（详见工程量清单）</w:t>
      </w:r>
      <w:r>
        <w:rPr>
          <w:rFonts w:hint="eastAsia" w:ascii="宋体" w:hAnsi="宋体" w:cs="宋体"/>
          <w:color w:val="auto"/>
          <w:sz w:val="24"/>
          <w:szCs w:val="24"/>
          <w:highlight w:val="none"/>
          <w:u w:val="single"/>
          <w:lang w:val="en-US" w:eastAsia="zh-CN"/>
        </w:rPr>
        <w:t>（包含但不限于采购人提供的工程量清单、施工图，供应商自行踏勘了解清单可能漏项的内容及工程量，发现工程量清单中的某个工程量有较大的量差或工程量清单有明显的漏项、错项等，供应商应在谈判文件规定的时间内提出质疑，经采购人核实后在补充通知中进行明确，若未提出质疑视为供应商知晓，责任由供应商自行承担）</w:t>
      </w:r>
      <w:r>
        <w:rPr>
          <w:rFonts w:hint="eastAsia" w:ascii="宋体" w:hAnsi="宋体" w:cs="宋体"/>
          <w:color w:val="auto"/>
          <w:sz w:val="24"/>
          <w:szCs w:val="24"/>
          <w:highlight w:val="none"/>
          <w:u w:val="single"/>
          <w:lang w:eastAsia="zh-CN"/>
        </w:rPr>
        <w:t>。</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二、合同工期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日（具体开工时间</w:t>
      </w:r>
      <w:r>
        <w:rPr>
          <w:rFonts w:hint="eastAsia" w:ascii="宋体" w:hAnsi="宋体" w:eastAsia="宋体" w:cs="宋体"/>
          <w:color w:val="auto"/>
          <w:sz w:val="24"/>
          <w:szCs w:val="24"/>
          <w:highlight w:val="none"/>
          <w:u w:val="none"/>
        </w:rPr>
        <w:t>以</w:t>
      </w:r>
      <w:r>
        <w:rPr>
          <w:rFonts w:hint="eastAsia" w:ascii="宋体" w:hAnsi="宋体" w:eastAsia="宋体" w:cs="宋体"/>
          <w:color w:val="auto"/>
          <w:sz w:val="24"/>
          <w:szCs w:val="24"/>
          <w:highlight w:val="none"/>
          <w:u w:val="single"/>
          <w:lang w:val="en-US" w:eastAsia="zh-CN"/>
        </w:rPr>
        <w:t>工程开工令</w:t>
      </w:r>
      <w:r>
        <w:rPr>
          <w:rFonts w:hint="eastAsia" w:ascii="宋体" w:hAnsi="宋体" w:eastAsia="宋体" w:cs="宋体"/>
          <w:color w:val="auto"/>
          <w:sz w:val="24"/>
          <w:szCs w:val="24"/>
          <w:highlight w:val="none"/>
          <w:u w:val="none"/>
        </w:rPr>
        <w:t>为准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日（竣工日期</w:t>
      </w:r>
      <w:r>
        <w:rPr>
          <w:rFonts w:hint="eastAsia" w:ascii="宋体" w:hAnsi="宋体" w:eastAsia="宋体" w:cs="宋体"/>
          <w:color w:val="auto"/>
          <w:sz w:val="24"/>
          <w:szCs w:val="24"/>
          <w:highlight w:val="none"/>
          <w:u w:val="none"/>
        </w:rPr>
        <w:t>以</w:t>
      </w:r>
      <w:r>
        <w:rPr>
          <w:rFonts w:hint="eastAsia" w:ascii="宋体" w:hAnsi="宋体" w:eastAsia="宋体" w:cs="宋体"/>
          <w:color w:val="auto"/>
          <w:sz w:val="24"/>
          <w:szCs w:val="24"/>
          <w:highlight w:val="none"/>
          <w:u w:val="single"/>
        </w:rPr>
        <w:t>竣工报告时间</w:t>
      </w:r>
      <w:r>
        <w:rPr>
          <w:rFonts w:hint="eastAsia" w:ascii="宋体" w:hAnsi="宋体" w:eastAsia="宋体" w:cs="宋体"/>
          <w:color w:val="auto"/>
          <w:sz w:val="24"/>
          <w:szCs w:val="24"/>
          <w:highlight w:val="none"/>
          <w:u w:val="none"/>
        </w:rPr>
        <w:t>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日历日实施完成整体工程。具体开工日期以</w:t>
      </w:r>
      <w:r>
        <w:rPr>
          <w:rFonts w:hint="eastAsia" w:ascii="宋体" w:hAnsi="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下达的开工令为准。</w:t>
      </w:r>
      <w:r>
        <w:rPr>
          <w:rFonts w:hint="eastAsia" w:ascii="宋体" w:hAnsi="宋体" w:cs="宋体"/>
          <w:color w:val="auto"/>
          <w:sz w:val="24"/>
          <w:szCs w:val="24"/>
          <w:highlight w:val="none"/>
          <w:u w:val="single"/>
          <w:lang w:eastAsia="zh-CN"/>
        </w:rPr>
        <w:t>成包人</w:t>
      </w:r>
      <w:r>
        <w:rPr>
          <w:rFonts w:hint="eastAsia" w:ascii="宋体" w:hAnsi="宋体" w:eastAsia="宋体" w:cs="宋体"/>
          <w:color w:val="auto"/>
          <w:sz w:val="24"/>
          <w:szCs w:val="24"/>
          <w:highlight w:val="none"/>
          <w:u w:val="single"/>
        </w:rPr>
        <w:t>必须按时完成，不得延期。为保证本工程如期完工，供应商有必要须自行组织夜间施工，不另算夜间施工措施费，若延期交工，每超过一天，视为违约，进行1000元/天处罚，但不超过合同总额的10%。合同总工期已计入晴、阴、雨、雪、雾、风、洪水、台风、停电、停水等影响施工的时间</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三、质量标准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工程质量符合国家现行有关施工质量验收规范要求，并达到合格标准。 </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四、签约合同价与合同价格形式</w:t>
      </w:r>
      <w:r>
        <w:rPr>
          <w:rFonts w:hint="eastAsia" w:ascii="宋体" w:hAnsi="宋体" w:eastAsia="宋体" w:cs="宋体"/>
          <w:b/>
          <w:bCs/>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1.签约合同价为：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highlight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签约合同价为：</w:t>
      </w:r>
    </w:p>
    <w:p>
      <w:pPr>
        <w:pageBreakBefore w:val="0"/>
        <w:kinsoku/>
        <w:wordWrap/>
        <w:overflowPunct/>
        <w:topLinePunct w:val="0"/>
        <w:autoSpaceDE/>
        <w:autoSpaceDN/>
        <w:bidi w:val="0"/>
        <w:snapToGrid w:val="0"/>
        <w:spacing w:line="400" w:lineRule="exact"/>
        <w:ind w:firstLine="482" w:firstLineChars="200"/>
        <w:textAlignment w:val="auto"/>
        <w:rPr>
          <w:rFonts w:ascii="宋体" w:hAnsi="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hint="eastAsia" w:ascii="宋体" w:hAnsi="宋体"/>
          <w:color w:val="auto"/>
          <w:sz w:val="24"/>
          <w:szCs w:val="24"/>
          <w:highlight w:val="none"/>
        </w:rPr>
        <w:t>；</w:t>
      </w:r>
    </w:p>
    <w:p>
      <w:pPr>
        <w:pageBreakBefore w:val="0"/>
        <w:kinsoku/>
        <w:wordWrap/>
        <w:overflowPunct/>
        <w:topLinePunct w:val="0"/>
        <w:autoSpaceDE/>
        <w:autoSpaceDN/>
        <w:bidi w:val="0"/>
        <w:snapToGrid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其中：</w:t>
      </w:r>
    </w:p>
    <w:p>
      <w:pPr>
        <w:pageBreakBefore w:val="0"/>
        <w:kinsoku/>
        <w:wordWrap/>
        <w:overflowPunct/>
        <w:topLinePunct w:val="0"/>
        <w:autoSpaceDE/>
        <w:autoSpaceDN/>
        <w:bidi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（1）安全文明施工费：</w:t>
      </w:r>
    </w:p>
    <w:p>
      <w:pPr>
        <w:pageBreakBefore w:val="0"/>
        <w:kinsoku/>
        <w:wordWrap/>
        <w:overflowPunct/>
        <w:topLinePunct w:val="0"/>
        <w:autoSpaceDE/>
        <w:autoSpaceDN/>
        <w:bidi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hint="eastAsia" w:ascii="宋体" w:hAnsi="宋体"/>
          <w:color w:val="auto"/>
          <w:sz w:val="24"/>
          <w:szCs w:val="24"/>
          <w:highlight w:val="none"/>
        </w:rPr>
        <w:t>；</w:t>
      </w:r>
    </w:p>
    <w:p>
      <w:pPr>
        <w:pageBreakBefore w:val="0"/>
        <w:kinsoku/>
        <w:wordWrap/>
        <w:overflowPunct/>
        <w:topLinePunct w:val="0"/>
        <w:autoSpaceDE/>
        <w:autoSpaceDN/>
        <w:bidi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（2）材料和工程设备暂估价金额：</w:t>
      </w:r>
    </w:p>
    <w:p>
      <w:pPr>
        <w:pageBreakBefore w:val="0"/>
        <w:kinsoku/>
        <w:wordWrap/>
        <w:overflowPunct/>
        <w:topLinePunct w:val="0"/>
        <w:autoSpaceDE/>
        <w:autoSpaceDN/>
        <w:bidi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hint="eastAsia" w:ascii="宋体" w:hAnsi="宋体"/>
          <w:color w:val="auto"/>
          <w:sz w:val="24"/>
          <w:szCs w:val="24"/>
          <w:highlight w:val="none"/>
        </w:rPr>
        <w:t>；</w:t>
      </w:r>
    </w:p>
    <w:p>
      <w:pPr>
        <w:pageBreakBefore w:val="0"/>
        <w:kinsoku/>
        <w:wordWrap/>
        <w:overflowPunct/>
        <w:topLinePunct w:val="0"/>
        <w:autoSpaceDE/>
        <w:autoSpaceDN/>
        <w:bidi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（3）专业工程暂估价金额：</w:t>
      </w:r>
    </w:p>
    <w:p>
      <w:pPr>
        <w:pageBreakBefore w:val="0"/>
        <w:kinsoku/>
        <w:wordWrap/>
        <w:overflowPunct/>
        <w:topLinePunct w:val="0"/>
        <w:autoSpaceDE/>
        <w:autoSpaceDN/>
        <w:bidi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hint="eastAsia" w:ascii="宋体" w:hAnsi="宋体"/>
          <w:color w:val="auto"/>
          <w:sz w:val="24"/>
          <w:szCs w:val="24"/>
          <w:highlight w:val="none"/>
        </w:rPr>
        <w:t>；</w:t>
      </w:r>
    </w:p>
    <w:p>
      <w:pPr>
        <w:pageBreakBefore w:val="0"/>
        <w:kinsoku/>
        <w:wordWrap/>
        <w:overflowPunct/>
        <w:topLinePunct w:val="0"/>
        <w:autoSpaceDE/>
        <w:autoSpaceDN/>
        <w:bidi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（4）暂列金额：</w:t>
      </w:r>
    </w:p>
    <w:p>
      <w:pPr>
        <w:pageBreakBefore w:val="0"/>
        <w:kinsoku/>
        <w:wordWrap/>
        <w:overflowPunct/>
        <w:topLinePunct w:val="0"/>
        <w:autoSpaceDE/>
        <w:autoSpaceDN/>
        <w:bidi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hint="eastAsia" w:ascii="宋体" w:hAnsi="宋体"/>
          <w:color w:val="auto"/>
          <w:sz w:val="24"/>
          <w:szCs w:val="24"/>
          <w:highlight w:val="none"/>
        </w:rPr>
        <w:t>。</w:t>
      </w:r>
    </w:p>
    <w:p>
      <w:pPr>
        <w:pageBreakBefore w:val="0"/>
        <w:kinsoku/>
        <w:wordWrap/>
        <w:overflowPunct/>
        <w:topLinePunct w:val="0"/>
        <w:autoSpaceDE/>
        <w:autoSpaceDN/>
        <w:bidi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3.合同价格形式：</w:t>
      </w:r>
      <w:r>
        <w:rPr>
          <w:rFonts w:ascii="宋体" w:hAnsi="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单价合同</w:t>
      </w:r>
      <w:r>
        <w:rPr>
          <w:rFonts w:hint="eastAsia" w:ascii="宋体" w:hAnsi="宋体" w:eastAsia="宋体" w:cs="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五、项目经理及技术负责人</w:t>
      </w:r>
    </w:p>
    <w:p>
      <w:pPr>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承包人</w:t>
      </w:r>
      <w:r>
        <w:rPr>
          <w:rFonts w:hint="eastAsia" w:ascii="宋体" w:hAnsi="宋体" w:eastAsia="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文件中承诺的项目经理：</w:t>
      </w:r>
    </w:p>
    <w:p>
      <w:pPr>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姓名：</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身份证号码：</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建造师</w:t>
      </w:r>
      <w:r>
        <w:rPr>
          <w:rFonts w:ascii="宋体" w:hAnsi="宋体" w:eastAsia="宋体" w:cs="Times New Roman"/>
          <w:color w:val="auto"/>
          <w:sz w:val="24"/>
          <w:szCs w:val="24"/>
          <w:highlight w:val="none"/>
        </w:rPr>
        <w:t>注册证书号</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承包人</w:t>
      </w:r>
      <w:r>
        <w:rPr>
          <w:rFonts w:hint="eastAsia" w:ascii="宋体" w:hAnsi="宋体" w:eastAsia="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文件中承诺的技术负责人：</w:t>
      </w:r>
    </w:p>
    <w:p>
      <w:pPr>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姓名：</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身份证号码：</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证书名称及号码：</w:t>
      </w:r>
      <w:r>
        <w:rPr>
          <w:rFonts w:hint="eastAsia" w:ascii="宋体" w:hAnsi="宋体" w:eastAsia="宋体" w:cs="宋体"/>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六、合同文件构成</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合同协议书</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（5）专用合同条款及其附件；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竞争性谈判文件及答疑补遗</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）技术标准和要求；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图纸（如有）；</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已标价工程量清单（如有）；</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其他合同文件。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七、承诺</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eastAsia="zh-CN"/>
        </w:rPr>
        <w:t>承包人</w:t>
      </w:r>
      <w:r>
        <w:rPr>
          <w:rFonts w:hint="eastAsia" w:ascii="宋体" w:hAnsi="宋体" w:eastAsia="宋体" w:cs="宋体"/>
          <w:bCs/>
          <w:color w:val="auto"/>
          <w:sz w:val="24"/>
          <w:szCs w:val="24"/>
          <w:highlight w:val="none"/>
        </w:rPr>
        <w:t>承诺按照法律规定及合同约定组织完成工程施工，确保工程质量和安全，不进行转包及违法分包，并在</w:t>
      </w:r>
      <w:r>
        <w:rPr>
          <w:rFonts w:hint="eastAsia" w:ascii="宋体" w:hAnsi="宋体" w:eastAsia="宋体" w:cs="宋体"/>
          <w:color w:val="auto"/>
          <w:sz w:val="24"/>
          <w:szCs w:val="24"/>
          <w:highlight w:val="none"/>
          <w:u w:val="none"/>
          <w:lang w:eastAsia="zh-CN"/>
        </w:rPr>
        <w:t>质保</w:t>
      </w:r>
      <w:r>
        <w:rPr>
          <w:rFonts w:hint="eastAsia" w:ascii="宋体" w:hAnsi="宋体" w:eastAsia="宋体" w:cs="宋体"/>
          <w:color w:val="auto"/>
          <w:sz w:val="24"/>
          <w:szCs w:val="24"/>
          <w:highlight w:val="none"/>
          <w:u w:val="none"/>
        </w:rPr>
        <w:t>期</w:t>
      </w:r>
      <w:r>
        <w:rPr>
          <w:rFonts w:hint="eastAsia" w:ascii="宋体" w:hAnsi="宋体" w:eastAsia="宋体" w:cs="宋体"/>
          <w:bCs/>
          <w:color w:val="auto"/>
          <w:sz w:val="24"/>
          <w:szCs w:val="24"/>
          <w:highlight w:val="none"/>
        </w:rPr>
        <w:t>及保修期内承担相应的工程维修责任。</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w:t>
      </w:r>
      <w:r>
        <w:rPr>
          <w:rFonts w:hint="eastAsia" w:ascii="宋体" w:hAnsi="宋体" w:cs="宋体"/>
          <w:bCs/>
          <w:color w:val="auto"/>
          <w:sz w:val="24"/>
          <w:szCs w:val="24"/>
          <w:highlight w:val="none"/>
          <w:lang w:eastAsia="zh-CN"/>
        </w:rPr>
        <w:t>承包人</w:t>
      </w:r>
      <w:r>
        <w:rPr>
          <w:rFonts w:hint="eastAsia" w:ascii="宋体" w:hAnsi="宋体" w:eastAsia="宋体" w:cs="宋体"/>
          <w:bCs/>
          <w:color w:val="auto"/>
          <w:sz w:val="24"/>
          <w:szCs w:val="24"/>
          <w:highlight w:val="none"/>
        </w:rPr>
        <w:t>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八、词语含义</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九、签订时间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十、签订地点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签订。</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十一、补充协议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十二、合同生效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双方签字盖章即时</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十三、合同份数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r>
        <w:rPr>
          <w:rFonts w:hint="eastAsia" w:ascii="宋体" w:hAnsi="宋体" w:cs="宋体"/>
          <w:bCs/>
          <w:color w:val="auto"/>
          <w:sz w:val="24"/>
          <w:szCs w:val="24"/>
          <w:highlight w:val="none"/>
          <w:lang w:eastAsia="zh-CN"/>
        </w:rPr>
        <w:t>承</w:t>
      </w:r>
      <w:r>
        <w:rPr>
          <w:rFonts w:hint="eastAsia" w:ascii="宋体" w:hAnsi="宋体" w:eastAsia="宋体" w:cs="宋体"/>
          <w:bCs/>
          <w:color w:val="auto"/>
          <w:sz w:val="24"/>
          <w:szCs w:val="24"/>
          <w:highlight w:val="none"/>
          <w:lang w:eastAsia="zh-CN"/>
        </w:rPr>
        <w:t>包人</w:t>
      </w:r>
      <w:r>
        <w:rPr>
          <w:rFonts w:hint="eastAsia" w:ascii="宋体" w:hAnsi="宋体" w:eastAsia="宋体" w:cs="宋体"/>
          <w:bCs/>
          <w:color w:val="auto"/>
          <w:sz w:val="24"/>
          <w:szCs w:val="24"/>
          <w:highlight w:val="none"/>
        </w:rPr>
        <w:t>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kinsoku/>
        <w:wordWrap/>
        <w:overflowPunct/>
        <w:topLinePunct w:val="0"/>
        <w:bidi w:val="0"/>
        <w:adjustRightInd w:val="0"/>
        <w:spacing w:line="400" w:lineRule="exact"/>
        <w:ind w:firstLine="480" w:firstLineChars="200"/>
        <w:rPr>
          <w:rFonts w:ascii="宋体" w:hAnsi="宋体" w:eastAsia="宋体" w:cs="Times New Roman"/>
          <w:snapToGrid w:val="0"/>
          <w:color w:val="auto"/>
          <w:kern w:val="0"/>
          <w:sz w:val="24"/>
          <w:szCs w:val="24"/>
          <w:highlight w:val="none"/>
        </w:rPr>
      </w:pPr>
      <w:bookmarkStart w:id="20" w:name="_Toc467689623"/>
      <w:r>
        <w:rPr>
          <w:rFonts w:ascii="宋体" w:hAnsi="宋体" w:eastAsia="宋体" w:cs="Times New Roman"/>
          <w:snapToGrid w:val="0"/>
          <w:color w:val="auto"/>
          <w:kern w:val="0"/>
          <w:sz w:val="24"/>
          <w:szCs w:val="24"/>
          <w:highlight w:val="none"/>
        </w:rPr>
        <w:t>发包人：</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r>
        <w:rPr>
          <w:rFonts w:ascii="宋体" w:hAnsi="宋体" w:eastAsia="宋体" w:cs="Times New Roman"/>
          <w:snapToGrid w:val="0"/>
          <w:color w:val="auto"/>
          <w:kern w:val="0"/>
          <w:sz w:val="24"/>
          <w:szCs w:val="24"/>
          <w:highlight w:val="none"/>
        </w:rPr>
        <w:t>（</w:t>
      </w:r>
      <w:r>
        <w:rPr>
          <w:rFonts w:hint="eastAsia" w:ascii="宋体" w:hAnsi="宋体" w:eastAsia="宋体" w:cs="Times New Roman"/>
          <w:snapToGrid w:val="0"/>
          <w:color w:val="auto"/>
          <w:kern w:val="0"/>
          <w:sz w:val="24"/>
          <w:szCs w:val="24"/>
          <w:highlight w:val="none"/>
          <w:lang w:val="en-US" w:eastAsia="zh-CN"/>
        </w:rPr>
        <w:t>盖单位</w:t>
      </w:r>
      <w:r>
        <w:rPr>
          <w:rFonts w:ascii="宋体" w:hAnsi="宋体" w:eastAsia="宋体" w:cs="Times New Roman"/>
          <w:snapToGrid w:val="0"/>
          <w:color w:val="auto"/>
          <w:kern w:val="0"/>
          <w:sz w:val="24"/>
          <w:szCs w:val="24"/>
          <w:highlight w:val="none"/>
        </w:rPr>
        <w:t>公章</w:t>
      </w:r>
      <w:r>
        <w:rPr>
          <w:rFonts w:hint="eastAsia" w:ascii="宋体" w:hAnsi="宋体" w:eastAsia="宋体" w:cs="Times New Roman"/>
          <w:snapToGrid w:val="0"/>
          <w:color w:val="auto"/>
          <w:kern w:val="0"/>
          <w:sz w:val="24"/>
          <w:szCs w:val="24"/>
          <w:highlight w:val="none"/>
        </w:rPr>
        <w:t>或合同专用章</w:t>
      </w:r>
      <w:r>
        <w:rPr>
          <w:rFonts w:ascii="宋体" w:hAnsi="宋体" w:eastAsia="宋体" w:cs="Times New Roman"/>
          <w:snapToGrid w:val="0"/>
          <w:color w:val="auto"/>
          <w:kern w:val="0"/>
          <w:sz w:val="24"/>
          <w:szCs w:val="24"/>
          <w:highlight w:val="none"/>
        </w:rPr>
        <w:t>）</w:t>
      </w:r>
    </w:p>
    <w:p>
      <w:pPr>
        <w:kinsoku/>
        <w:wordWrap/>
        <w:overflowPunct/>
        <w:topLinePunct w:val="0"/>
        <w:bidi w:val="0"/>
        <w:spacing w:line="400" w:lineRule="exact"/>
        <w:ind w:firstLine="480" w:firstLineChars="200"/>
        <w:rPr>
          <w:rFonts w:ascii="宋体" w:hAnsi="宋体" w:eastAsia="宋体" w:cs="Times New Roman"/>
          <w:snapToGrid w:val="0"/>
          <w:color w:val="auto"/>
          <w:kern w:val="0"/>
          <w:sz w:val="24"/>
          <w:szCs w:val="24"/>
          <w:highlight w:val="none"/>
        </w:rPr>
      </w:pPr>
      <w:r>
        <w:rPr>
          <w:rFonts w:ascii="宋体" w:hAnsi="宋体" w:eastAsia="宋体" w:cs="Times New Roman"/>
          <w:snapToGrid w:val="0"/>
          <w:color w:val="auto"/>
          <w:kern w:val="0"/>
          <w:sz w:val="24"/>
          <w:szCs w:val="24"/>
          <w:highlight w:val="none"/>
        </w:rPr>
        <w:t>法定代表人或其委托代理人：</w:t>
      </w:r>
      <w:r>
        <w:rPr>
          <w:rFonts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u w:val="single"/>
        </w:rPr>
        <w:t xml:space="preserve">                  </w:t>
      </w:r>
      <w:r>
        <w:rPr>
          <w:rFonts w:ascii="宋体" w:hAnsi="宋体" w:eastAsia="宋体" w:cs="Times New Roman"/>
          <w:snapToGrid w:val="0"/>
          <w:color w:val="auto"/>
          <w:kern w:val="0"/>
          <w:sz w:val="24"/>
          <w:szCs w:val="24"/>
          <w:highlight w:val="none"/>
        </w:rPr>
        <w:t>（</w:t>
      </w:r>
      <w:r>
        <w:rPr>
          <w:rFonts w:hint="eastAsia" w:ascii="宋体" w:hAnsi="宋体" w:eastAsia="宋体" w:cs="Times New Roman"/>
          <w:snapToGrid w:val="0"/>
          <w:color w:val="auto"/>
          <w:kern w:val="0"/>
          <w:sz w:val="24"/>
          <w:szCs w:val="24"/>
          <w:highlight w:val="none"/>
        </w:rPr>
        <w:t>签名</w:t>
      </w:r>
      <w:r>
        <w:rPr>
          <w:rFonts w:ascii="宋体" w:hAnsi="宋体" w:eastAsia="宋体" w:cs="Times New Roman"/>
          <w:snapToGrid w:val="0"/>
          <w:color w:val="auto"/>
          <w:kern w:val="0"/>
          <w:sz w:val="24"/>
          <w:szCs w:val="24"/>
          <w:highlight w:val="none"/>
        </w:rPr>
        <w:t>）</w:t>
      </w:r>
    </w:p>
    <w:p>
      <w:pPr>
        <w:kinsoku/>
        <w:wordWrap/>
        <w:overflowPunct/>
        <w:topLinePunct w:val="0"/>
        <w:bidi w:val="0"/>
        <w:spacing w:line="400" w:lineRule="exact"/>
        <w:ind w:firstLine="480" w:firstLineChars="200"/>
        <w:rPr>
          <w:rFonts w:ascii="宋体" w:hAnsi="宋体" w:eastAsia="宋体" w:cs="Times New Roman"/>
          <w:snapToGrid w:val="0"/>
          <w:color w:val="auto"/>
          <w:kern w:val="0"/>
          <w:sz w:val="24"/>
          <w:szCs w:val="24"/>
          <w:highlight w:val="none"/>
        </w:rPr>
      </w:pPr>
      <w:r>
        <w:rPr>
          <w:rFonts w:hint="eastAsia" w:ascii="宋体" w:hAnsi="宋体" w:eastAsia="宋体" w:cs="Times New Roman"/>
          <w:snapToGrid w:val="0"/>
          <w:color w:val="auto"/>
          <w:kern w:val="0"/>
          <w:sz w:val="24"/>
          <w:szCs w:val="24"/>
          <w:highlight w:val="none"/>
        </w:rPr>
        <w:t>统一社会信用代码：</w:t>
      </w:r>
      <w:r>
        <w:rPr>
          <w:rFonts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p>
    <w:p>
      <w:pPr>
        <w:kinsoku/>
        <w:wordWrap/>
        <w:overflowPunct/>
        <w:topLinePunct w:val="0"/>
        <w:bidi w:val="0"/>
        <w:spacing w:line="400" w:lineRule="exact"/>
        <w:ind w:firstLine="480" w:firstLineChars="200"/>
        <w:rPr>
          <w:rFonts w:ascii="宋体" w:hAnsi="宋体" w:eastAsia="宋体" w:cs="Times New Roman"/>
          <w:snapToGrid w:val="0"/>
          <w:color w:val="auto"/>
          <w:kern w:val="0"/>
          <w:sz w:val="24"/>
          <w:szCs w:val="24"/>
          <w:highlight w:val="none"/>
          <w:u w:val="single"/>
        </w:rPr>
      </w:pPr>
      <w:r>
        <w:rPr>
          <w:rFonts w:hint="eastAsia" w:ascii="宋体" w:hAnsi="宋体" w:eastAsia="宋体" w:cs="Times New Roman"/>
          <w:snapToGrid w:val="0"/>
          <w:color w:val="auto"/>
          <w:kern w:val="0"/>
          <w:sz w:val="24"/>
          <w:szCs w:val="24"/>
          <w:highlight w:val="none"/>
        </w:rPr>
        <w:t>纳税人识别号：</w:t>
      </w:r>
      <w:r>
        <w:rPr>
          <w:rFonts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p>
    <w:p>
      <w:pPr>
        <w:kinsoku/>
        <w:wordWrap/>
        <w:overflowPunct/>
        <w:topLinePunct w:val="0"/>
        <w:bidi w:val="0"/>
        <w:spacing w:line="400" w:lineRule="exact"/>
        <w:ind w:firstLine="480" w:firstLineChars="200"/>
        <w:rPr>
          <w:rFonts w:ascii="宋体" w:hAnsi="宋体" w:eastAsia="宋体" w:cs="Times New Roman"/>
          <w:snapToGrid w:val="0"/>
          <w:color w:val="auto"/>
          <w:kern w:val="0"/>
          <w:sz w:val="24"/>
          <w:szCs w:val="24"/>
          <w:highlight w:val="none"/>
          <w:u w:val="single"/>
        </w:rPr>
      </w:pPr>
      <w:r>
        <w:rPr>
          <w:rFonts w:hint="eastAsia" w:ascii="宋体" w:hAnsi="宋体" w:eastAsia="宋体" w:cs="Times New Roman"/>
          <w:snapToGrid w:val="0"/>
          <w:color w:val="auto"/>
          <w:kern w:val="0"/>
          <w:sz w:val="24"/>
          <w:szCs w:val="24"/>
          <w:highlight w:val="none"/>
        </w:rPr>
        <w:t>地    址：</w:t>
      </w:r>
      <w:r>
        <w:rPr>
          <w:rFonts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p>
    <w:p>
      <w:pPr>
        <w:kinsoku/>
        <w:wordWrap/>
        <w:overflowPunct/>
        <w:topLinePunct w:val="0"/>
        <w:bidi w:val="0"/>
        <w:spacing w:line="400" w:lineRule="exact"/>
        <w:ind w:firstLine="480" w:firstLineChars="200"/>
        <w:rPr>
          <w:rFonts w:ascii="宋体" w:hAnsi="宋体" w:eastAsia="宋体" w:cs="Times New Roman"/>
          <w:snapToGrid w:val="0"/>
          <w:color w:val="auto"/>
          <w:kern w:val="0"/>
          <w:sz w:val="24"/>
          <w:szCs w:val="24"/>
          <w:highlight w:val="none"/>
          <w:u w:val="single"/>
        </w:rPr>
      </w:pPr>
      <w:r>
        <w:rPr>
          <w:rFonts w:hint="eastAsia" w:ascii="宋体" w:hAnsi="宋体" w:eastAsia="宋体" w:cs="Times New Roman"/>
          <w:snapToGrid w:val="0"/>
          <w:color w:val="auto"/>
          <w:kern w:val="0"/>
          <w:sz w:val="24"/>
          <w:szCs w:val="24"/>
          <w:highlight w:val="none"/>
        </w:rPr>
        <w:t>电    话：</w:t>
      </w:r>
      <w:r>
        <w:rPr>
          <w:rFonts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p>
    <w:p>
      <w:pPr>
        <w:kinsoku/>
        <w:wordWrap/>
        <w:overflowPunct/>
        <w:topLinePunct w:val="0"/>
        <w:bidi w:val="0"/>
        <w:spacing w:line="400" w:lineRule="exact"/>
        <w:ind w:firstLine="480" w:firstLineChars="200"/>
        <w:rPr>
          <w:rFonts w:ascii="宋体" w:hAnsi="宋体" w:eastAsia="宋体" w:cs="Times New Roman"/>
          <w:snapToGrid w:val="0"/>
          <w:color w:val="auto"/>
          <w:kern w:val="0"/>
          <w:sz w:val="24"/>
          <w:szCs w:val="24"/>
          <w:highlight w:val="none"/>
          <w:u w:val="single"/>
        </w:rPr>
      </w:pPr>
      <w:r>
        <w:rPr>
          <w:rFonts w:hint="eastAsia" w:ascii="宋体" w:hAnsi="宋体" w:eastAsia="宋体" w:cs="Times New Roman"/>
          <w:snapToGrid w:val="0"/>
          <w:color w:val="auto"/>
          <w:kern w:val="0"/>
          <w:sz w:val="24"/>
          <w:szCs w:val="24"/>
          <w:highlight w:val="none"/>
        </w:rPr>
        <w:t>开户银行：</w:t>
      </w:r>
      <w:r>
        <w:rPr>
          <w:rFonts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p>
    <w:p>
      <w:pPr>
        <w:kinsoku/>
        <w:wordWrap/>
        <w:overflowPunct/>
        <w:topLinePunct w:val="0"/>
        <w:bidi w:val="0"/>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snapToGrid w:val="0"/>
          <w:color w:val="auto"/>
          <w:kern w:val="0"/>
          <w:sz w:val="24"/>
          <w:szCs w:val="24"/>
          <w:highlight w:val="none"/>
        </w:rPr>
        <w:t>账    号：</w:t>
      </w:r>
      <w:r>
        <w:rPr>
          <w:rFonts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p>
    <w:p>
      <w:pPr>
        <w:kinsoku/>
        <w:wordWrap/>
        <w:overflowPunct/>
        <w:topLinePunct w:val="0"/>
        <w:bidi w:val="0"/>
        <w:spacing w:line="400" w:lineRule="exact"/>
        <w:rPr>
          <w:rFonts w:ascii="宋体" w:hAnsi="宋体" w:eastAsia="宋体" w:cs="Times New Roman"/>
          <w:snapToGrid w:val="0"/>
          <w:color w:val="auto"/>
          <w:kern w:val="0"/>
          <w:sz w:val="24"/>
          <w:szCs w:val="24"/>
          <w:highlight w:val="none"/>
        </w:rPr>
      </w:pPr>
    </w:p>
    <w:p>
      <w:pPr>
        <w:kinsoku/>
        <w:wordWrap/>
        <w:overflowPunct/>
        <w:topLinePunct w:val="0"/>
        <w:bidi w:val="0"/>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snapToGrid w:val="0"/>
          <w:color w:val="auto"/>
          <w:kern w:val="0"/>
          <w:sz w:val="24"/>
          <w:szCs w:val="24"/>
          <w:highlight w:val="none"/>
        </w:rPr>
        <w:t>承包人：</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r>
        <w:rPr>
          <w:rFonts w:ascii="宋体" w:hAnsi="宋体" w:eastAsia="宋体" w:cs="Times New Roman"/>
          <w:snapToGrid w:val="0"/>
          <w:color w:val="auto"/>
          <w:kern w:val="0"/>
          <w:sz w:val="24"/>
          <w:szCs w:val="24"/>
          <w:highlight w:val="none"/>
        </w:rPr>
        <w:t>（</w:t>
      </w:r>
      <w:r>
        <w:rPr>
          <w:rFonts w:hint="eastAsia" w:ascii="宋体" w:hAnsi="宋体" w:eastAsia="宋体" w:cs="Times New Roman"/>
          <w:snapToGrid w:val="0"/>
          <w:color w:val="auto"/>
          <w:kern w:val="0"/>
          <w:sz w:val="24"/>
          <w:szCs w:val="24"/>
          <w:highlight w:val="none"/>
          <w:lang w:val="en-US" w:eastAsia="zh-CN"/>
        </w:rPr>
        <w:t>盖单位</w:t>
      </w:r>
      <w:r>
        <w:rPr>
          <w:rFonts w:ascii="宋体" w:hAnsi="宋体" w:eastAsia="宋体" w:cs="Times New Roman"/>
          <w:snapToGrid w:val="0"/>
          <w:color w:val="auto"/>
          <w:kern w:val="0"/>
          <w:sz w:val="24"/>
          <w:szCs w:val="24"/>
          <w:highlight w:val="none"/>
        </w:rPr>
        <w:t>公章</w:t>
      </w:r>
      <w:r>
        <w:rPr>
          <w:rFonts w:hint="eastAsia" w:ascii="宋体" w:hAnsi="宋体" w:eastAsia="宋体" w:cs="Times New Roman"/>
          <w:snapToGrid w:val="0"/>
          <w:color w:val="auto"/>
          <w:kern w:val="0"/>
          <w:sz w:val="24"/>
          <w:szCs w:val="24"/>
          <w:highlight w:val="none"/>
        </w:rPr>
        <w:t>或合同专用章</w:t>
      </w:r>
      <w:r>
        <w:rPr>
          <w:rFonts w:ascii="宋体" w:hAnsi="宋体" w:eastAsia="宋体" w:cs="Times New Roman"/>
          <w:snapToGrid w:val="0"/>
          <w:color w:val="auto"/>
          <w:kern w:val="0"/>
          <w:sz w:val="24"/>
          <w:szCs w:val="24"/>
          <w:highlight w:val="none"/>
        </w:rPr>
        <w:t>）</w:t>
      </w:r>
    </w:p>
    <w:p>
      <w:pPr>
        <w:kinsoku/>
        <w:wordWrap/>
        <w:overflowPunct/>
        <w:topLinePunct w:val="0"/>
        <w:bidi w:val="0"/>
        <w:spacing w:line="400" w:lineRule="exact"/>
        <w:ind w:firstLine="480" w:firstLineChars="200"/>
        <w:rPr>
          <w:rFonts w:ascii="宋体" w:hAnsi="宋体" w:eastAsia="宋体" w:cs="Times New Roman"/>
          <w:snapToGrid w:val="0"/>
          <w:color w:val="auto"/>
          <w:kern w:val="0"/>
          <w:sz w:val="24"/>
          <w:szCs w:val="24"/>
          <w:highlight w:val="none"/>
        </w:rPr>
      </w:pPr>
      <w:r>
        <w:rPr>
          <w:rFonts w:ascii="宋体" w:hAnsi="宋体" w:eastAsia="宋体" w:cs="Times New Roman"/>
          <w:snapToGrid w:val="0"/>
          <w:color w:val="auto"/>
          <w:kern w:val="0"/>
          <w:sz w:val="24"/>
          <w:szCs w:val="24"/>
          <w:highlight w:val="none"/>
        </w:rPr>
        <w:t>法定代表人或其委托代理人：</w:t>
      </w:r>
      <w:r>
        <w:rPr>
          <w:rFonts w:ascii="宋体" w:hAnsi="宋体" w:eastAsia="宋体" w:cs="Times New Roman"/>
          <w:snapToGrid w:val="0"/>
          <w:color w:val="auto"/>
          <w:w w:val="200"/>
          <w:kern w:val="0"/>
          <w:sz w:val="24"/>
          <w:szCs w:val="24"/>
          <w:highlight w:val="none"/>
          <w:u w:val="single"/>
        </w:rPr>
        <w:t xml:space="preserve">         </w:t>
      </w:r>
      <w:r>
        <w:rPr>
          <w:rFonts w:hint="eastAsia"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rPr>
        <w:t>（</w:t>
      </w:r>
      <w:r>
        <w:rPr>
          <w:rFonts w:hint="eastAsia" w:ascii="宋体" w:hAnsi="宋体" w:eastAsia="宋体" w:cs="Times New Roman"/>
          <w:snapToGrid w:val="0"/>
          <w:color w:val="auto"/>
          <w:kern w:val="0"/>
          <w:sz w:val="24"/>
          <w:szCs w:val="24"/>
          <w:highlight w:val="none"/>
        </w:rPr>
        <w:t>签名</w:t>
      </w:r>
      <w:r>
        <w:rPr>
          <w:rFonts w:ascii="宋体" w:hAnsi="宋体" w:eastAsia="宋体" w:cs="Times New Roman"/>
          <w:snapToGrid w:val="0"/>
          <w:color w:val="auto"/>
          <w:kern w:val="0"/>
          <w:sz w:val="24"/>
          <w:szCs w:val="24"/>
          <w:highlight w:val="none"/>
        </w:rPr>
        <w:t>）</w:t>
      </w:r>
    </w:p>
    <w:p>
      <w:pPr>
        <w:kinsoku/>
        <w:wordWrap/>
        <w:overflowPunct/>
        <w:topLinePunct w:val="0"/>
        <w:bidi w:val="0"/>
        <w:spacing w:line="400" w:lineRule="exact"/>
        <w:ind w:firstLine="480" w:firstLineChars="200"/>
        <w:rPr>
          <w:rFonts w:ascii="宋体" w:hAnsi="宋体" w:eastAsia="宋体" w:cs="Times New Roman"/>
          <w:snapToGrid w:val="0"/>
          <w:color w:val="auto"/>
          <w:kern w:val="0"/>
          <w:sz w:val="24"/>
          <w:szCs w:val="24"/>
          <w:highlight w:val="none"/>
        </w:rPr>
      </w:pPr>
      <w:r>
        <w:rPr>
          <w:rFonts w:hint="eastAsia" w:ascii="宋体" w:hAnsi="宋体" w:eastAsia="宋体" w:cs="Times New Roman"/>
          <w:snapToGrid w:val="0"/>
          <w:color w:val="auto"/>
          <w:kern w:val="0"/>
          <w:sz w:val="24"/>
          <w:szCs w:val="24"/>
          <w:highlight w:val="none"/>
        </w:rPr>
        <w:t>统一社会信用代码：</w:t>
      </w:r>
      <w:r>
        <w:rPr>
          <w:rFonts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p>
    <w:p>
      <w:pPr>
        <w:kinsoku/>
        <w:wordWrap/>
        <w:overflowPunct/>
        <w:topLinePunct w:val="0"/>
        <w:bidi w:val="0"/>
        <w:spacing w:line="400" w:lineRule="exact"/>
        <w:ind w:firstLine="480" w:firstLineChars="200"/>
        <w:rPr>
          <w:rFonts w:ascii="宋体" w:hAnsi="宋体" w:eastAsia="宋体" w:cs="Times New Roman"/>
          <w:snapToGrid w:val="0"/>
          <w:color w:val="auto"/>
          <w:kern w:val="0"/>
          <w:sz w:val="24"/>
          <w:szCs w:val="24"/>
          <w:highlight w:val="none"/>
          <w:u w:val="single"/>
        </w:rPr>
      </w:pPr>
      <w:r>
        <w:rPr>
          <w:rFonts w:hint="eastAsia" w:ascii="宋体" w:hAnsi="宋体" w:eastAsia="宋体" w:cs="Times New Roman"/>
          <w:snapToGrid w:val="0"/>
          <w:color w:val="auto"/>
          <w:kern w:val="0"/>
          <w:sz w:val="24"/>
          <w:szCs w:val="24"/>
          <w:highlight w:val="none"/>
        </w:rPr>
        <w:t>纳税人识别号：</w:t>
      </w:r>
      <w:r>
        <w:rPr>
          <w:rFonts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p>
    <w:p>
      <w:pPr>
        <w:kinsoku/>
        <w:wordWrap/>
        <w:overflowPunct/>
        <w:topLinePunct w:val="0"/>
        <w:bidi w:val="0"/>
        <w:spacing w:line="400" w:lineRule="exact"/>
        <w:ind w:firstLine="480" w:firstLineChars="200"/>
        <w:rPr>
          <w:rFonts w:ascii="宋体" w:hAnsi="宋体" w:eastAsia="宋体" w:cs="Times New Roman"/>
          <w:snapToGrid w:val="0"/>
          <w:color w:val="auto"/>
          <w:kern w:val="0"/>
          <w:sz w:val="24"/>
          <w:szCs w:val="24"/>
          <w:highlight w:val="none"/>
          <w:u w:val="single"/>
        </w:rPr>
      </w:pPr>
      <w:r>
        <w:rPr>
          <w:rFonts w:hint="eastAsia" w:ascii="宋体" w:hAnsi="宋体" w:eastAsia="宋体" w:cs="Times New Roman"/>
          <w:snapToGrid w:val="0"/>
          <w:color w:val="auto"/>
          <w:kern w:val="0"/>
          <w:sz w:val="24"/>
          <w:szCs w:val="24"/>
          <w:highlight w:val="none"/>
        </w:rPr>
        <w:t>地    址：</w:t>
      </w:r>
      <w:r>
        <w:rPr>
          <w:rFonts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p>
    <w:p>
      <w:pPr>
        <w:kinsoku/>
        <w:wordWrap/>
        <w:overflowPunct/>
        <w:topLinePunct w:val="0"/>
        <w:bidi w:val="0"/>
        <w:spacing w:line="400" w:lineRule="exact"/>
        <w:ind w:firstLine="480" w:firstLineChars="200"/>
        <w:rPr>
          <w:rFonts w:ascii="宋体" w:hAnsi="宋体" w:eastAsia="宋体" w:cs="Times New Roman"/>
          <w:snapToGrid w:val="0"/>
          <w:color w:val="auto"/>
          <w:kern w:val="0"/>
          <w:sz w:val="24"/>
          <w:szCs w:val="24"/>
          <w:highlight w:val="none"/>
          <w:u w:val="single"/>
        </w:rPr>
      </w:pPr>
      <w:r>
        <w:rPr>
          <w:rFonts w:hint="eastAsia" w:ascii="宋体" w:hAnsi="宋体" w:eastAsia="宋体" w:cs="Times New Roman"/>
          <w:snapToGrid w:val="0"/>
          <w:color w:val="auto"/>
          <w:kern w:val="0"/>
          <w:sz w:val="24"/>
          <w:szCs w:val="24"/>
          <w:highlight w:val="none"/>
        </w:rPr>
        <w:t>电    话：</w:t>
      </w:r>
      <w:r>
        <w:rPr>
          <w:rFonts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p>
    <w:p>
      <w:pPr>
        <w:kinsoku/>
        <w:wordWrap/>
        <w:overflowPunct/>
        <w:topLinePunct w:val="0"/>
        <w:bidi w:val="0"/>
        <w:spacing w:line="400" w:lineRule="exact"/>
        <w:ind w:firstLine="480" w:firstLineChars="200"/>
        <w:rPr>
          <w:rFonts w:ascii="宋体" w:hAnsi="宋体" w:eastAsia="宋体" w:cs="Times New Roman"/>
          <w:snapToGrid w:val="0"/>
          <w:color w:val="auto"/>
          <w:kern w:val="0"/>
          <w:sz w:val="24"/>
          <w:szCs w:val="24"/>
          <w:highlight w:val="none"/>
          <w:u w:val="single"/>
        </w:rPr>
      </w:pPr>
      <w:r>
        <w:rPr>
          <w:rFonts w:hint="eastAsia" w:ascii="宋体" w:hAnsi="宋体" w:eastAsia="宋体" w:cs="Times New Roman"/>
          <w:snapToGrid w:val="0"/>
          <w:color w:val="auto"/>
          <w:kern w:val="0"/>
          <w:sz w:val="24"/>
          <w:szCs w:val="24"/>
          <w:highlight w:val="none"/>
        </w:rPr>
        <w:t>开户银行：</w:t>
      </w:r>
      <w:r>
        <w:rPr>
          <w:rFonts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p>
    <w:p>
      <w:pPr>
        <w:kinsoku/>
        <w:wordWrap/>
        <w:overflowPunct/>
        <w:topLinePunct w:val="0"/>
        <w:bidi w:val="0"/>
        <w:spacing w:line="400" w:lineRule="exact"/>
        <w:ind w:firstLine="480" w:firstLineChars="200"/>
        <w:rPr>
          <w:rFonts w:ascii="宋体" w:hAnsi="宋体" w:eastAsia="宋体" w:cs="Times New Roman"/>
          <w:snapToGrid w:val="0"/>
          <w:color w:val="auto"/>
          <w:kern w:val="0"/>
          <w:sz w:val="24"/>
          <w:szCs w:val="24"/>
          <w:highlight w:val="none"/>
          <w:u w:val="single"/>
        </w:rPr>
      </w:pPr>
      <w:r>
        <w:rPr>
          <w:rFonts w:hint="eastAsia" w:ascii="宋体" w:hAnsi="宋体" w:eastAsia="宋体" w:cs="Times New Roman"/>
          <w:snapToGrid w:val="0"/>
          <w:color w:val="auto"/>
          <w:kern w:val="0"/>
          <w:sz w:val="24"/>
          <w:szCs w:val="24"/>
          <w:highlight w:val="none"/>
        </w:rPr>
        <w:t>账    号：</w:t>
      </w:r>
      <w:r>
        <w:rPr>
          <w:rFonts w:ascii="宋体" w:hAnsi="宋体" w:eastAsia="宋体" w:cs="Times New Roman"/>
          <w:snapToGrid w:val="0"/>
          <w:color w:val="auto"/>
          <w:w w:val="200"/>
          <w:kern w:val="0"/>
          <w:sz w:val="24"/>
          <w:szCs w:val="24"/>
          <w:highlight w:val="none"/>
          <w:u w:val="single"/>
        </w:rPr>
        <w:t xml:space="preserve"> </w:t>
      </w:r>
      <w:r>
        <w:rPr>
          <w:rFonts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u w:val="single"/>
        </w:rPr>
        <w:t xml:space="preserve">                </w:t>
      </w:r>
    </w:p>
    <w:p>
      <w:pPr>
        <w:widowControl w:val="0"/>
        <w:kinsoku/>
        <w:wordWrap/>
        <w:overflowPunct/>
        <w:topLinePunct w:val="0"/>
        <w:bidi w:val="0"/>
        <w:spacing w:after="120" w:line="400" w:lineRule="exact"/>
        <w:jc w:val="both"/>
        <w:rPr>
          <w:rFonts w:ascii="宋体" w:hAnsi="宋体" w:eastAsia="宋体" w:cs="Times New Roman"/>
          <w:color w:val="auto"/>
          <w:kern w:val="2"/>
          <w:sz w:val="24"/>
          <w:szCs w:val="24"/>
          <w:highlight w:val="none"/>
          <w:lang w:val="en-US" w:eastAsia="zh-CN" w:bidi="ar-SA"/>
        </w:rPr>
      </w:pPr>
    </w:p>
    <w:p>
      <w:pPr>
        <w:kinsoku/>
        <w:wordWrap/>
        <w:overflowPunct/>
        <w:topLinePunct w:val="0"/>
        <w:bidi w:val="0"/>
        <w:spacing w:line="400" w:lineRule="exact"/>
        <w:jc w:val="both"/>
        <w:rPr>
          <w:rFonts w:ascii="宋体" w:hAnsi="宋体" w:eastAsia="宋体" w:cs="Times New Roman"/>
          <w:snapToGrid w:val="0"/>
          <w:color w:val="auto"/>
          <w:kern w:val="0"/>
          <w:sz w:val="24"/>
          <w:szCs w:val="24"/>
          <w:highlight w:val="none"/>
        </w:rPr>
      </w:pPr>
    </w:p>
    <w:p>
      <w:pPr>
        <w:kinsoku/>
        <w:wordWrap/>
        <w:overflowPunct/>
        <w:topLinePunct w:val="0"/>
        <w:bidi w:val="0"/>
        <w:spacing w:line="400" w:lineRule="exact"/>
        <w:jc w:val="right"/>
        <w:rPr>
          <w:rFonts w:ascii="宋体" w:hAnsi="宋体" w:eastAsia="宋体" w:cs="Times New Roman"/>
          <w:snapToGrid w:val="0"/>
          <w:color w:val="auto"/>
          <w:kern w:val="0"/>
          <w:sz w:val="24"/>
          <w:szCs w:val="24"/>
          <w:highlight w:val="none"/>
        </w:rPr>
      </w:pPr>
      <w:r>
        <w:rPr>
          <w:rFonts w:hint="eastAsia" w:ascii="宋体" w:hAnsi="宋体" w:eastAsia="宋体" w:cs="Times New Roman"/>
          <w:snapToGrid w:val="0"/>
          <w:color w:val="auto"/>
          <w:kern w:val="0"/>
          <w:sz w:val="24"/>
          <w:szCs w:val="24"/>
          <w:highlight w:val="none"/>
        </w:rPr>
        <w:t>签约时间：</w:t>
      </w:r>
      <w:r>
        <w:rPr>
          <w:rFonts w:hint="eastAsia"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rPr>
        <w:t>年</w:t>
      </w:r>
      <w:r>
        <w:rPr>
          <w:rFonts w:hint="eastAsia"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rPr>
        <w:t>月</w:t>
      </w:r>
      <w:r>
        <w:rPr>
          <w:rFonts w:hint="eastAsia" w:ascii="宋体" w:hAnsi="宋体" w:eastAsia="宋体" w:cs="Times New Roman"/>
          <w:snapToGrid w:val="0"/>
          <w:color w:val="auto"/>
          <w:kern w:val="0"/>
          <w:sz w:val="24"/>
          <w:szCs w:val="24"/>
          <w:highlight w:val="none"/>
          <w:u w:val="single"/>
        </w:rPr>
        <w:t xml:space="preserve">     </w:t>
      </w:r>
      <w:r>
        <w:rPr>
          <w:rFonts w:hint="eastAsia" w:ascii="宋体" w:hAnsi="宋体" w:eastAsia="宋体" w:cs="Times New Roman"/>
          <w:snapToGrid w:val="0"/>
          <w:color w:val="auto"/>
          <w:kern w:val="0"/>
          <w:sz w:val="24"/>
          <w:szCs w:val="24"/>
          <w:highlight w:val="none"/>
        </w:rPr>
        <w:t>日</w:t>
      </w:r>
      <w:bookmarkEnd w:id="20"/>
    </w:p>
    <w:p>
      <w:pPr>
        <w:keepNext w:val="0"/>
        <w:keepLines w:val="0"/>
        <w:pageBreakBefore/>
        <w:kinsoku/>
        <w:wordWrap/>
        <w:overflowPunct/>
        <w:topLinePunct w:val="0"/>
        <w:bidi w:val="0"/>
        <w:spacing w:line="400" w:lineRule="exact"/>
        <w:jc w:val="center"/>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第二部分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通用合同条款</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通用合同条款直接采用中华人民共和国住房和城乡建设部与国家工商行政管理总局联合制定的《建设工程施工合同》（GF-2017-0201）示范文本第二部分《通用合同条款》。</w:t>
      </w: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ind w:firstLine="600" w:firstLineChars="200"/>
        <w:jc w:val="left"/>
        <w:textAlignment w:val="auto"/>
        <w:rPr>
          <w:rFonts w:hint="eastAsia" w:ascii="宋体" w:hAnsi="宋体" w:eastAsia="宋体" w:cs="宋体"/>
          <w:color w:val="auto"/>
          <w:sz w:val="30"/>
          <w:szCs w:val="30"/>
          <w:highlight w:val="none"/>
        </w:rPr>
      </w:pPr>
    </w:p>
    <w:p>
      <w:pPr>
        <w:keepNext w:val="0"/>
        <w:keepLines w:val="0"/>
        <w:kinsoku/>
        <w:wordWrap/>
        <w:overflowPunct/>
        <w:topLinePunct w:val="0"/>
        <w:bidi w:val="0"/>
        <w:spacing w:line="400" w:lineRule="exac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kinsoku/>
        <w:wordWrap/>
        <w:overflowPunct/>
        <w:topLinePunct w:val="0"/>
        <w:bidi w:val="0"/>
        <w:spacing w:beforeLines="0" w:afterLines="0"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第三部分 专用合同条款</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 一般约定</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合同当事人和人员</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w:t>
      </w:r>
      <w:r>
        <w:rPr>
          <w:rFonts w:hint="eastAsia" w:ascii="宋体" w:hAnsi="宋体" w:eastAsia="宋体" w:cs="宋体"/>
          <w:color w:val="auto"/>
          <w:sz w:val="24"/>
          <w:szCs w:val="24"/>
          <w:highlight w:val="none"/>
          <w:lang w:val="en-US" w:eastAsia="zh-CN"/>
        </w:rPr>
        <w:t>3 承包人</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项目管理人员</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工程和设备</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永久工程：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临时工程：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单位工程：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永久占地：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临时占地：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日期</w:t>
      </w:r>
    </w:p>
    <w:p>
      <w:pPr>
        <w:keepNext w:val="0"/>
        <w:keepLines w:val="0"/>
        <w:kinsoku/>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缺陷责任期：</w:t>
      </w:r>
      <w:r>
        <w:rPr>
          <w:rFonts w:hint="eastAsia" w:ascii="宋体" w:hAnsi="宋体" w:eastAsia="宋体" w:cs="宋体"/>
          <w:color w:val="auto"/>
          <w:sz w:val="24"/>
          <w:szCs w:val="24"/>
          <w:highlight w:val="none"/>
          <w:lang w:val="en-US" w:eastAsia="zh-CN"/>
        </w:rPr>
        <w:t>基础设施工程、房屋建筑的地基基础工程和主体结构工程，为设计文件规定的该工程的合理使用年限。</w:t>
      </w:r>
    </w:p>
    <w:p>
      <w:pPr>
        <w:keepNext w:val="0"/>
        <w:keepLines w:val="0"/>
        <w:kinsoku/>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（1）屋面防水工程、有防水要求的卫生间、房间和外墙面的防渗漏为５年；</w:t>
      </w:r>
    </w:p>
    <w:p>
      <w:pPr>
        <w:keepNext w:val="0"/>
        <w:keepLines w:val="0"/>
        <w:kinsoku/>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（2）供热与供冷系统，为２个采暖期、供冷期；</w:t>
      </w:r>
    </w:p>
    <w:p>
      <w:pPr>
        <w:keepNext w:val="0"/>
        <w:keepLines w:val="0"/>
        <w:kinsoku/>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（3）电气管线、给排水管道、设备安装和装修工程，为２年；</w:t>
      </w:r>
    </w:p>
    <w:p>
      <w:pPr>
        <w:keepNext w:val="0"/>
        <w:keepLines w:val="0"/>
        <w:kinsoku/>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（4）其他工程的保修期均为1年；</w:t>
      </w:r>
    </w:p>
    <w:p>
      <w:pPr>
        <w:keepNext w:val="0"/>
        <w:keepLines w:val="0"/>
        <w:kinsoku/>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（5）建设工程的保修期，自竣工验收合格之日起计算</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napToGrid w:val="0"/>
        <w:spacing w:line="420" w:lineRule="exact"/>
        <w:ind w:firstLine="723" w:firstLineChars="300"/>
        <w:textAlignment w:val="auto"/>
        <w:rPr>
          <w:rFonts w:hint="eastAsia"/>
          <w:color w:val="auto"/>
          <w:highlight w:val="none"/>
        </w:rPr>
      </w:pPr>
      <w:r>
        <w:rPr>
          <w:rFonts w:hint="eastAsia" w:ascii="宋体" w:hAnsi="宋体" w:eastAsia="宋体" w:cs="宋体"/>
          <w:b/>
          <w:bCs/>
          <w:color w:val="auto"/>
          <w:sz w:val="24"/>
          <w:szCs w:val="24"/>
          <w:highlight w:val="none"/>
          <w:u w:val="single"/>
          <w:lang w:eastAsia="zh-CN"/>
        </w:rPr>
        <w:t>注：缺陷责任期</w:t>
      </w:r>
      <w:r>
        <w:rPr>
          <w:rFonts w:hint="eastAsia" w:ascii="宋体" w:hAnsi="宋体" w:cs="宋体"/>
          <w:b/>
          <w:bCs/>
          <w:color w:val="auto"/>
          <w:sz w:val="24"/>
          <w:szCs w:val="24"/>
          <w:highlight w:val="none"/>
          <w:u w:val="single"/>
          <w:lang w:eastAsia="zh-CN"/>
        </w:rPr>
        <w:t>为</w:t>
      </w:r>
      <w:r>
        <w:rPr>
          <w:rFonts w:hint="eastAsia" w:ascii="宋体" w:hAnsi="宋体" w:cs="宋体"/>
          <w:b/>
          <w:bCs/>
          <w:color w:val="auto"/>
          <w:sz w:val="24"/>
          <w:szCs w:val="24"/>
          <w:highlight w:val="none"/>
          <w:u w:val="single"/>
          <w:lang w:val="en-US" w:eastAsia="zh-CN"/>
        </w:rPr>
        <w:t>12个月，</w:t>
      </w:r>
      <w:r>
        <w:rPr>
          <w:rFonts w:hint="eastAsia" w:ascii="宋体" w:hAnsi="宋体" w:eastAsia="宋体" w:cs="宋体"/>
          <w:b/>
          <w:bCs/>
          <w:color w:val="auto"/>
          <w:sz w:val="24"/>
          <w:szCs w:val="24"/>
          <w:highlight w:val="none"/>
          <w:u w:val="single"/>
          <w:lang w:eastAsia="zh-CN"/>
        </w:rPr>
        <w:t>按</w:t>
      </w:r>
      <w:r>
        <w:rPr>
          <w:rFonts w:hint="eastAsia" w:ascii="宋体" w:hAnsi="宋体" w:cs="宋体"/>
          <w:b/>
          <w:bCs/>
          <w:color w:val="auto"/>
          <w:sz w:val="24"/>
          <w:szCs w:val="24"/>
          <w:highlight w:val="none"/>
          <w:u w:val="single"/>
          <w:lang w:eastAsia="zh-CN"/>
        </w:rPr>
        <w:t>竣工验收合格之日</w:t>
      </w:r>
      <w:r>
        <w:rPr>
          <w:rFonts w:hint="eastAsia" w:ascii="宋体" w:hAnsi="宋体" w:eastAsia="宋体" w:cs="宋体"/>
          <w:b/>
          <w:bCs/>
          <w:color w:val="auto"/>
          <w:sz w:val="24"/>
          <w:szCs w:val="24"/>
          <w:highlight w:val="none"/>
          <w:u w:val="single"/>
          <w:lang w:eastAsia="zh-CN"/>
        </w:rPr>
        <w:t>起开始计算。</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合同文件的优先顺序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合同文件的优先顺序：</w:t>
      </w:r>
      <w:r>
        <w:rPr>
          <w:rFonts w:hint="eastAsia" w:ascii="宋体" w:hAnsi="宋体" w:eastAsia="宋体" w:cs="宋体"/>
          <w:color w:val="auto"/>
          <w:sz w:val="24"/>
          <w:szCs w:val="24"/>
          <w:highlight w:val="none"/>
          <w:u w:val="single"/>
        </w:rPr>
        <w:t>施工工程中的书面补充协议；本合同协议书；</w:t>
      </w:r>
      <w:r>
        <w:rPr>
          <w:rFonts w:hint="eastAsia" w:ascii="宋体" w:hAnsi="宋体" w:eastAsia="宋体" w:cs="宋体"/>
          <w:color w:val="auto"/>
          <w:sz w:val="24"/>
          <w:szCs w:val="24"/>
          <w:highlight w:val="none"/>
          <w:u w:val="single"/>
          <w:lang w:eastAsia="zh-CN"/>
        </w:rPr>
        <w:t>成交</w:t>
      </w:r>
      <w:r>
        <w:rPr>
          <w:rFonts w:hint="eastAsia" w:ascii="宋体" w:hAnsi="宋体" w:eastAsia="宋体" w:cs="宋体"/>
          <w:color w:val="auto"/>
          <w:sz w:val="24"/>
          <w:szCs w:val="24"/>
          <w:highlight w:val="none"/>
          <w:u w:val="single"/>
        </w:rPr>
        <w:t>通知书；本合同专用条款；</w:t>
      </w:r>
      <w:r>
        <w:rPr>
          <w:rFonts w:hint="eastAsia" w:ascii="宋体" w:hAnsi="宋体" w:eastAsia="宋体" w:cs="宋体"/>
          <w:color w:val="auto"/>
          <w:sz w:val="24"/>
          <w:szCs w:val="24"/>
          <w:highlight w:val="none"/>
          <w:u w:val="single"/>
          <w:lang w:val="en-US" w:eastAsia="zh-CN"/>
        </w:rPr>
        <w:t>采购</w:t>
      </w:r>
      <w:r>
        <w:rPr>
          <w:rFonts w:hint="eastAsia" w:ascii="宋体" w:hAnsi="宋体" w:eastAsia="宋体" w:cs="宋体"/>
          <w:color w:val="auto"/>
          <w:sz w:val="24"/>
          <w:szCs w:val="24"/>
          <w:highlight w:val="none"/>
          <w:u w:val="single"/>
        </w:rPr>
        <w:t>文件及附件；本合同通用条款；响应文件及其附件；标准、规范及有关技术文件；图纸；已标价工程量清单及组价文件及其单价分析表；经</w:t>
      </w:r>
      <w:r>
        <w:rPr>
          <w:rFonts w:hint="eastAsia" w:ascii="宋体" w:hAnsi="宋体" w:eastAsia="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批准的施工组织设计和方案。</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合同生效的条件</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合同生效的条件：</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 xml:space="preserve">提交履约保证金后，双方签订合同后生效。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图纸和</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文件</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 xml:space="preserve">提供图纸的期限、数量：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提供的文件范围：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提供文件的期限、数量：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项目管理人员</w:t>
      </w:r>
      <w:r>
        <w:rPr>
          <w:rFonts w:hint="eastAsia" w:ascii="宋体" w:hAnsi="宋体" w:eastAsia="宋体" w:cs="宋体"/>
          <w:color w:val="auto"/>
          <w:sz w:val="24"/>
          <w:szCs w:val="24"/>
          <w:highlight w:val="none"/>
        </w:rPr>
        <w:t>批复</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提供文件的期限：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项目管理人员</w:t>
      </w:r>
      <w:r>
        <w:rPr>
          <w:rFonts w:hint="eastAsia" w:ascii="宋体" w:hAnsi="宋体" w:eastAsia="宋体" w:cs="宋体"/>
          <w:color w:val="auto"/>
          <w:sz w:val="24"/>
          <w:szCs w:val="24"/>
          <w:highlight w:val="none"/>
        </w:rPr>
        <w:t xml:space="preserve">签发图纸修改的期限：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联络</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联络送达的期限：                                              </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 发包人义务</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提供施工场地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设计相关文件以及图纸</w:t>
      </w:r>
    </w:p>
    <w:p>
      <w:pPr>
        <w:keepNext w:val="0"/>
        <w:keepLines w:val="0"/>
        <w:kinsoku/>
        <w:wordWrap/>
        <w:overflowPunct/>
        <w:topLinePunct w:val="0"/>
        <w:bidi w:val="0"/>
        <w:adjustRightInd w:val="0"/>
        <w:snapToGrid w:val="0"/>
        <w:spacing w:beforeAutospacing="0" w:afterAutospacing="0" w:line="42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提供施工场地和有关资料的时间：</w:t>
      </w:r>
      <w:r>
        <w:rPr>
          <w:rFonts w:hint="eastAsia" w:ascii="宋体" w:hAnsi="宋体" w:eastAsia="宋体" w:cs="宋体"/>
          <w:color w:val="auto"/>
          <w:sz w:val="24"/>
          <w:szCs w:val="24"/>
          <w:highlight w:val="none"/>
          <w:u w:val="single"/>
        </w:rPr>
        <w:t xml:space="preserve"> 发出开工通知前提供</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3.项目管理人员</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项目管理人员</w:t>
      </w:r>
      <w:r>
        <w:rPr>
          <w:rFonts w:hint="eastAsia" w:ascii="宋体" w:hAnsi="宋体" w:eastAsia="宋体" w:cs="宋体"/>
          <w:color w:val="auto"/>
          <w:sz w:val="24"/>
          <w:szCs w:val="24"/>
          <w:highlight w:val="none"/>
        </w:rPr>
        <w:t>的职责和权力</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须经</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事先批准行使的权力：</w:t>
      </w:r>
      <w:r>
        <w:rPr>
          <w:rFonts w:hint="eastAsia" w:ascii="宋体" w:hAnsi="宋体" w:eastAsia="宋体" w:cs="宋体"/>
          <w:color w:val="auto"/>
          <w:sz w:val="24"/>
          <w:szCs w:val="24"/>
          <w:highlight w:val="none"/>
          <w:u w:val="single"/>
          <w:lang w:eastAsia="zh-CN"/>
        </w:rPr>
        <w:t>以发包人</w:t>
      </w:r>
      <w:r>
        <w:rPr>
          <w:rFonts w:hint="eastAsia" w:ascii="宋体" w:hAnsi="宋体" w:eastAsia="宋体" w:cs="宋体"/>
          <w:color w:val="auto"/>
          <w:sz w:val="24"/>
          <w:szCs w:val="24"/>
          <w:highlight w:val="none"/>
          <w:u w:val="single"/>
        </w:rPr>
        <w:t>书面通知为准</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4.承包人</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 </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的一般义务</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4.1</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 xml:space="preserve"> 为他人提供方便</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承包人</w:t>
      </w:r>
      <w:r>
        <w:rPr>
          <w:rFonts w:hint="eastAsia" w:ascii="宋体" w:hAnsi="宋体" w:eastAsia="宋体" w:cs="宋体"/>
          <w:color w:val="auto"/>
          <w:sz w:val="24"/>
          <w:szCs w:val="24"/>
          <w:highlight w:val="none"/>
          <w:u w:val="none"/>
        </w:rPr>
        <w:t xml:space="preserve">为他人提供条件的内容：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承包人</w:t>
      </w:r>
      <w:r>
        <w:rPr>
          <w:rFonts w:hint="eastAsia" w:ascii="宋体" w:hAnsi="宋体" w:eastAsia="宋体" w:cs="宋体"/>
          <w:color w:val="auto"/>
          <w:sz w:val="24"/>
          <w:szCs w:val="24"/>
          <w:highlight w:val="none"/>
          <w:u w:val="none"/>
        </w:rPr>
        <w:t xml:space="preserve">为他人提供条件可能发生费用的处理方法：   </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履约担保</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提供履约担保的金额、方式和提交时间：合同总价的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%；银行转账或电汇；签订合同前提交，否则，</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将取消其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w:t>
      </w:r>
      <w:r>
        <w:rPr>
          <w:rFonts w:hint="eastAsia" w:ascii="宋体" w:hAnsi="宋体" w:eastAsia="宋体" w:cs="宋体"/>
          <w:color w:val="auto"/>
          <w:sz w:val="24"/>
          <w:szCs w:val="24"/>
          <w:highlight w:val="none"/>
          <w:u w:val="single"/>
        </w:rPr>
        <w:t>工程竣工验收合格后，15日内无息退还</w:t>
      </w:r>
      <w:r>
        <w:rPr>
          <w:rFonts w:hint="eastAsia" w:ascii="宋体" w:hAnsi="宋体" w:eastAsia="宋体" w:cs="宋体"/>
          <w:color w:val="auto"/>
          <w:sz w:val="24"/>
          <w:szCs w:val="24"/>
          <w:highlight w:val="none"/>
        </w:rPr>
        <w:t>。</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4.3分包</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当事人约定某些非主体、非关键性工作分包给第三人：</w:t>
      </w:r>
      <w:r>
        <w:rPr>
          <w:rFonts w:hint="eastAsia" w:ascii="宋体" w:hAnsi="宋体" w:eastAsia="宋体" w:cs="宋体"/>
          <w:color w:val="auto"/>
          <w:sz w:val="24"/>
          <w:szCs w:val="24"/>
          <w:highlight w:val="none"/>
          <w:u w:val="single"/>
        </w:rPr>
        <w:t>在满足相关法律、规范要求的前提下，除非得到</w:t>
      </w:r>
      <w:r>
        <w:rPr>
          <w:rFonts w:hint="eastAsia" w:ascii="宋体" w:hAnsi="宋体" w:eastAsia="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 xml:space="preserve">许可外不允许分包 </w:t>
      </w:r>
      <w:r>
        <w:rPr>
          <w:rFonts w:hint="eastAsia" w:ascii="宋体" w:hAnsi="宋体" w:eastAsia="宋体" w:cs="宋体"/>
          <w:color w:val="auto"/>
          <w:sz w:val="24"/>
          <w:szCs w:val="24"/>
          <w:highlight w:val="none"/>
          <w:u w:val="single"/>
          <w:lang w:eastAsia="zh-CN"/>
        </w:rPr>
        <w:t>。</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不利物质条件</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不利物质条件的范围：                                           </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5.材料和工程设备</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提供的材料和工程设备</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5.1.1</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负责采购、运输和保管的材料、工程设备：</w:t>
      </w:r>
      <w:r>
        <w:rPr>
          <w:rFonts w:hint="eastAsia" w:ascii="宋体" w:hAnsi="宋体" w:eastAsia="宋体" w:cs="宋体"/>
          <w:color w:val="auto"/>
          <w:sz w:val="24"/>
          <w:szCs w:val="24"/>
          <w:highlight w:val="none"/>
          <w:u w:val="single"/>
        </w:rPr>
        <w:t>所有进场</w:t>
      </w:r>
      <w:r>
        <w:rPr>
          <w:rFonts w:hint="eastAsia" w:ascii="宋体" w:hAnsi="宋体" w:eastAsia="宋体" w:cs="宋体"/>
          <w:color w:val="auto"/>
          <w:sz w:val="24"/>
          <w:szCs w:val="24"/>
          <w:highlight w:val="none"/>
          <w:u w:val="single"/>
          <w:lang w:val="en-US" w:eastAsia="zh-CN"/>
        </w:rPr>
        <w:t>原</w:t>
      </w:r>
      <w:r>
        <w:rPr>
          <w:rFonts w:hint="eastAsia" w:ascii="宋体" w:hAnsi="宋体" w:eastAsia="宋体" w:cs="宋体"/>
          <w:color w:val="auto"/>
          <w:sz w:val="24"/>
          <w:szCs w:val="24"/>
          <w:highlight w:val="none"/>
          <w:u w:val="single"/>
        </w:rPr>
        <w:t>材料</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主、辅材</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相关施工机具设备、运输工具、安全防护设备。</w:t>
      </w:r>
      <w:r>
        <w:rPr>
          <w:rFonts w:hint="eastAsia" w:ascii="宋体" w:hAnsi="宋体" w:eastAsia="宋体" w:cs="宋体"/>
          <w:color w:val="auto"/>
          <w:sz w:val="24"/>
          <w:szCs w:val="24"/>
          <w:highlight w:val="none"/>
          <w:u w:val="single"/>
        </w:rPr>
        <w:t>设备</w:t>
      </w:r>
      <w:r>
        <w:rPr>
          <w:rFonts w:hint="eastAsia" w:ascii="宋体" w:hAnsi="宋体" w:eastAsia="宋体" w:cs="宋体"/>
          <w:color w:val="auto"/>
          <w:sz w:val="24"/>
          <w:szCs w:val="24"/>
          <w:highlight w:val="none"/>
          <w:u w:val="single"/>
          <w:lang w:val="en-US" w:eastAsia="zh-CN"/>
        </w:rPr>
        <w:t>及材料</w:t>
      </w:r>
      <w:r>
        <w:rPr>
          <w:rFonts w:hint="eastAsia" w:ascii="宋体" w:hAnsi="宋体" w:eastAsia="宋体" w:cs="宋体"/>
          <w:color w:val="auto"/>
          <w:sz w:val="24"/>
          <w:szCs w:val="24"/>
          <w:highlight w:val="none"/>
          <w:u w:val="single"/>
        </w:rPr>
        <w:t>质量应符合国家现行质量验收标准，符合设计要求，所有材料设备必须经</w:t>
      </w:r>
      <w:r>
        <w:rPr>
          <w:rFonts w:hint="eastAsia" w:ascii="宋体" w:hAnsi="宋体" w:eastAsia="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确认后才能进场。对未按上述要求采购、进场的材料、设备，</w:t>
      </w:r>
      <w:r>
        <w:rPr>
          <w:rFonts w:hint="eastAsia" w:ascii="宋体" w:hAnsi="宋体" w:eastAsia="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将拒绝用于本工程，并要求</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自行无偿清退出场。由此造成的损失，概由</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承担。</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报送</w:t>
      </w:r>
      <w:r>
        <w:rPr>
          <w:rFonts w:hint="eastAsia" w:ascii="宋体" w:hAnsi="宋体" w:eastAsia="宋体" w:cs="宋体"/>
          <w:color w:val="auto"/>
          <w:sz w:val="24"/>
          <w:szCs w:val="24"/>
          <w:highlight w:val="none"/>
          <w:lang w:eastAsia="zh-CN"/>
        </w:rPr>
        <w:t>项目管理人员</w:t>
      </w:r>
      <w:r>
        <w:rPr>
          <w:rFonts w:hint="eastAsia" w:ascii="宋体" w:hAnsi="宋体" w:eastAsia="宋体" w:cs="宋体"/>
          <w:color w:val="auto"/>
          <w:sz w:val="24"/>
          <w:szCs w:val="24"/>
          <w:highlight w:val="none"/>
        </w:rPr>
        <w:t>审批的时间：</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  </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提供的材料和工程设备</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5.2.1材料的名称、规格、数量和价格：                                </w:t>
      </w:r>
    </w:p>
    <w:p>
      <w:pPr>
        <w:keepNext w:val="0"/>
        <w:keepLines w:val="0"/>
        <w:kinsoku/>
        <w:wordWrap/>
        <w:overflowPunct/>
        <w:topLinePunct w:val="0"/>
        <w:bidi w:val="0"/>
        <w:adjustRightInd w:val="0"/>
        <w:snapToGrid w:val="0"/>
        <w:spacing w:beforeAutospacing="0" w:afterAutospacing="0" w:line="420" w:lineRule="exact"/>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材料的交货方式、地点和日期：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工程设备的名称、规格、数量和价格：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工程设备的交货方式、地点和日期：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材料和工程设备的接收、运输与保管：                             </w:t>
      </w:r>
    </w:p>
    <w:p>
      <w:pPr>
        <w:keepNext w:val="0"/>
        <w:keepLines w:val="0"/>
        <w:kinsoku/>
        <w:wordWrap/>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6.施工设备和临时设施</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提供的施工设备和临时设施</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承担修建临时设施费用的范围： </w:t>
      </w:r>
      <w:r>
        <w:rPr>
          <w:rFonts w:hint="eastAsia" w:ascii="宋体" w:hAnsi="宋体" w:eastAsia="宋体" w:cs="宋体"/>
          <w:color w:val="auto"/>
          <w:sz w:val="24"/>
          <w:szCs w:val="24"/>
          <w:highlight w:val="none"/>
          <w:u w:val="single"/>
        </w:rPr>
        <w:t>办理各项申请由</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自行负责，</w:t>
      </w:r>
      <w:r>
        <w:rPr>
          <w:rFonts w:hint="eastAsia" w:ascii="宋体" w:hAnsi="宋体" w:eastAsia="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协助。</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承担修建临时设施的费用，该笔费用已含在合同价款中不作调整</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临时占地的申请：</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自行负责</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临时占地相关费用：</w:t>
      </w:r>
      <w:r>
        <w:rPr>
          <w:rFonts w:hint="eastAsia" w:ascii="宋体" w:hAnsi="宋体" w:eastAsia="宋体" w:cs="宋体"/>
          <w:color w:val="auto"/>
          <w:sz w:val="24"/>
          <w:szCs w:val="24"/>
          <w:highlight w:val="none"/>
          <w:u w:val="single"/>
        </w:rPr>
        <w:t>临时占地的费用已包含到</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报价中，</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 xml:space="preserve">自行负责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 xml:space="preserve">6.2  </w:t>
      </w:r>
      <w:r>
        <w:rPr>
          <w:rFonts w:hint="eastAsia" w:ascii="宋体" w:hAnsi="宋体" w:eastAsia="宋体" w:cs="宋体"/>
          <w:color w:val="auto"/>
          <w:sz w:val="24"/>
          <w:szCs w:val="24"/>
          <w:highlight w:val="none"/>
          <w:u w:val="none"/>
          <w:lang w:eastAsia="zh-CN"/>
        </w:rPr>
        <w:t>发包人</w:t>
      </w:r>
      <w:r>
        <w:rPr>
          <w:rFonts w:hint="eastAsia" w:ascii="宋体" w:hAnsi="宋体" w:eastAsia="宋体" w:cs="宋体"/>
          <w:color w:val="auto"/>
          <w:sz w:val="24"/>
          <w:szCs w:val="24"/>
          <w:highlight w:val="none"/>
          <w:u w:val="none"/>
        </w:rPr>
        <w:t>提供的施工设备和临时设施</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u w:val="single"/>
          <w:lang w:val="en-US" w:eastAsia="zh-CN"/>
        </w:rPr>
        <w:t xml:space="preserve">  </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7.交通运输</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道路通行权和场外设施</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取得道路通行权、修建场外设施权的办理人：</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u w:val="single"/>
        </w:rPr>
        <w:t>自行负责</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相关费用：</w:t>
      </w:r>
      <w:r>
        <w:rPr>
          <w:rFonts w:hint="eastAsia" w:ascii="宋体" w:hAnsi="宋体" w:eastAsia="宋体" w:cs="宋体"/>
          <w:color w:val="auto"/>
          <w:sz w:val="24"/>
          <w:szCs w:val="24"/>
          <w:highlight w:val="none"/>
          <w:u w:val="single"/>
        </w:rPr>
        <w:t xml:space="preserve"> 包含在合同价（中标价）中，由</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自行承担</w:t>
      </w:r>
      <w:r>
        <w:rPr>
          <w:rFonts w:hint="eastAsia" w:ascii="宋体" w:hAnsi="宋体" w:eastAsia="宋体" w:cs="宋体"/>
          <w:color w:val="auto"/>
          <w:sz w:val="24"/>
          <w:szCs w:val="24"/>
          <w:highlight w:val="none"/>
        </w:rPr>
        <w:t>。</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7.2场内施工道路</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7.2.1 临时道路和交通设施的修建、维护、养护和管理人：</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因承包人原因造成道路或交通设施损坏的，承包人负责修复并承担由此增加的费用。</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临时道路和交通设施相关费用的承担：</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超大件和超重件的运输</w:t>
      </w:r>
    </w:p>
    <w:p>
      <w:pPr>
        <w:keepNext w:val="0"/>
        <w:keepLines w:val="0"/>
        <w:kinsoku/>
        <w:wordWrap/>
        <w:overflowPunct/>
        <w:topLinePunct w:val="0"/>
        <w:bidi w:val="0"/>
        <w:adjustRightInd w:val="0"/>
        <w:snapToGrid w:val="0"/>
        <w:spacing w:beforeAutospacing="0" w:afterAutospacing="0" w:line="42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道路和桥梁临时新建改造费用和其他有关费用的承担：</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8.测量放线</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施工控制网</w:t>
      </w:r>
    </w:p>
    <w:p>
      <w:pPr>
        <w:keepNext w:val="0"/>
        <w:keepLines w:val="0"/>
        <w:kinsoku/>
        <w:wordWrap/>
        <w:overflowPunct/>
        <w:topLinePunct w:val="0"/>
        <w:bidi w:val="0"/>
        <w:adjustRightInd w:val="0"/>
        <w:snapToGrid w:val="0"/>
        <w:spacing w:beforeAutospacing="0" w:afterAutospacing="0" w:line="42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提供测量基准点、基准线和水准点的期限：</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施工控制网的测设：</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自行承担</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w:t>
      </w:r>
      <w:r>
        <w:rPr>
          <w:rFonts w:hint="eastAsia" w:ascii="宋体" w:hAnsi="宋体" w:eastAsia="宋体" w:cs="宋体"/>
          <w:color w:val="auto"/>
          <w:sz w:val="24"/>
          <w:szCs w:val="24"/>
          <w:highlight w:val="none"/>
          <w:lang w:eastAsia="zh-CN"/>
        </w:rPr>
        <w:t>项目管理人员</w:t>
      </w:r>
      <w:r>
        <w:rPr>
          <w:rFonts w:hint="eastAsia" w:ascii="宋体" w:hAnsi="宋体" w:eastAsia="宋体" w:cs="宋体"/>
          <w:color w:val="auto"/>
          <w:sz w:val="24"/>
          <w:szCs w:val="24"/>
          <w:highlight w:val="none"/>
        </w:rPr>
        <w:t xml:space="preserve">审批施工控制网资料的期限：  。    </w:t>
      </w:r>
    </w:p>
    <w:p>
      <w:pPr>
        <w:keepNext w:val="0"/>
        <w:keepLines w:val="0"/>
        <w:numPr>
          <w:ilvl w:val="0"/>
          <w:numId w:val="7"/>
        </w:numPr>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施工安全、治安保卫和环境保护</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的施工安全责任</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应按照《重庆市建设工程安全生产监督管理办法》（渝建发〔2008〕177号）、《重庆市房屋建筑和市政基础设施工程现场文明施工标准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》（渝建</w:t>
      </w:r>
      <w:r>
        <w:rPr>
          <w:rFonts w:hint="eastAsia" w:ascii="宋体" w:hAnsi="宋体" w:eastAsia="宋体" w:cs="宋体"/>
          <w:color w:val="auto"/>
          <w:sz w:val="24"/>
          <w:szCs w:val="24"/>
          <w:highlight w:val="none"/>
          <w:lang w:val="en-US" w:eastAsia="zh-CN"/>
        </w:rPr>
        <w:t>质</w:t>
      </w:r>
      <w:r>
        <w:rPr>
          <w:rFonts w:hint="eastAsia" w:ascii="宋体" w:hAnsi="宋体" w:eastAsia="宋体" w:cs="宋体"/>
          <w:color w:val="auto"/>
          <w:sz w:val="24"/>
          <w:szCs w:val="24"/>
          <w:highlight w:val="none"/>
        </w:rPr>
        <w:t>发〔20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号）等相关规定履行好</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的施工安全责任。按照有关规定编制安全技术措施或者专项施工方案，建立安全生产责任制度、治安保卫制度及安全生产教育培训制度，并按安全生产法律规定及合同约定履行安全职责，如实编制工程安全生产的有关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办理工伤保险，确保工程及人员、材料、设备和设施的安全</w:t>
      </w:r>
      <w:r>
        <w:rPr>
          <w:rFonts w:hint="eastAsia" w:ascii="宋体" w:hAnsi="宋体" w:eastAsia="宋体" w:cs="宋体"/>
          <w:color w:val="auto"/>
          <w:sz w:val="24"/>
          <w:szCs w:val="24"/>
          <w:highlight w:val="none"/>
          <w:lang w:eastAsia="zh-CN"/>
        </w:rPr>
        <w:t>。</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的施工安全责任</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应按照《重庆市建设工程安全生产监督管理办法》（渝建发〔2008〕177号）等相关规定履行好</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的施工安全责任。为确保施工期间师生安全，合同签订三日内</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到现场与</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共同商定施工时序，</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按此时序调整施工组织方案和施工计划。</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治安保卫</w:t>
      </w:r>
    </w:p>
    <w:p>
      <w:pPr>
        <w:pStyle w:val="35"/>
        <w:keepNext w:val="0"/>
        <w:keepLines w:val="0"/>
        <w:kinsoku/>
        <w:overflowPunct/>
        <w:topLinePunct w:val="0"/>
        <w:bidi w:val="0"/>
        <w:spacing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9.3.1</w:t>
      </w:r>
      <w:r>
        <w:rPr>
          <w:rFonts w:hint="eastAsia" w:ascii="宋体" w:hAnsi="宋体" w:eastAsia="宋体" w:cs="宋体"/>
          <w:color w:val="auto"/>
          <w:sz w:val="24"/>
          <w:szCs w:val="24"/>
          <w:highlight w:val="none"/>
        </w:rPr>
        <w:t>自发包人向承包人移交施工现场之日起，承包人应负责照管工程及工程相关的材料、工程设备，直到颁发工程接收证书之日止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派遣专职保卫人员常驻施工现场照管。</w:t>
      </w:r>
    </w:p>
    <w:p>
      <w:pPr>
        <w:pStyle w:val="35"/>
        <w:keepNext w:val="0"/>
        <w:keepLines w:val="0"/>
        <w:kinsoku/>
        <w:overflowPunct/>
        <w:topLinePunct w:val="0"/>
        <w:bidi w:val="0"/>
        <w:spacing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9.3.2</w:t>
      </w:r>
      <w:r>
        <w:rPr>
          <w:rFonts w:hint="eastAsia" w:ascii="宋体" w:hAnsi="宋体" w:eastAsia="宋体" w:cs="宋体"/>
          <w:color w:val="auto"/>
          <w:sz w:val="24"/>
          <w:szCs w:val="24"/>
          <w:highlight w:val="none"/>
        </w:rPr>
        <w:t>在承包人负责照管期间，因承包人原因造成工程、材料、工程设备损坏的，由承包人负责修复或更换，并承担由此增加的费用和（或）延误的工期。</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 xml:space="preserve"> 现场治安管理机构或联防组织的组建：</w:t>
      </w:r>
      <w:r>
        <w:rPr>
          <w:rFonts w:hint="eastAsia" w:ascii="宋体" w:hAnsi="宋体" w:eastAsia="宋体" w:cs="宋体"/>
          <w:color w:val="auto"/>
          <w:sz w:val="24"/>
          <w:szCs w:val="24"/>
          <w:highlight w:val="none"/>
          <w:u w:val="single"/>
        </w:rPr>
        <w:t xml:space="preserve">    由</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 xml:space="preserve">自行准备  </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 xml:space="preserve"> 施工场地治安管理计划和突发治安事件紧急预案的编制：由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自行解决。</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9.4环境保护</w:t>
      </w:r>
    </w:p>
    <w:p>
      <w:pPr>
        <w:pStyle w:val="35"/>
        <w:keepNext w:val="0"/>
        <w:keepLines w:val="0"/>
        <w:kinsoku/>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应按照《重庆市建设工程安全生产监督管理办法》（渝建发〔2008〕177号）、《重庆市房屋建筑和市政基础设施工程现场文明施工标准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》（渝建</w:t>
      </w:r>
      <w:r>
        <w:rPr>
          <w:rFonts w:hint="eastAsia" w:ascii="宋体" w:hAnsi="宋体" w:eastAsia="宋体" w:cs="宋体"/>
          <w:color w:val="auto"/>
          <w:sz w:val="24"/>
          <w:szCs w:val="24"/>
          <w:highlight w:val="none"/>
          <w:lang w:val="en-US" w:eastAsia="zh-CN"/>
        </w:rPr>
        <w:t>质</w:t>
      </w:r>
      <w:r>
        <w:rPr>
          <w:rFonts w:hint="eastAsia" w:ascii="宋体" w:hAnsi="宋体" w:eastAsia="宋体" w:cs="宋体"/>
          <w:color w:val="auto"/>
          <w:sz w:val="24"/>
          <w:szCs w:val="24"/>
          <w:highlight w:val="none"/>
        </w:rPr>
        <w:t>发〔20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号）等相关规定履行好施工扬尘控制、文明施工等责任。负责施工场地及其周边环境与生态的保护工作，承包人应在施工组织设计中列明环境保护的具体措施。在合同履行期间，承包人应采取合理措施保护施工现场环境。对施工作业过程中可能引起的大气、水、噪音以及固体废物污染采取具体可行的防范措施。承包人应当承担因其原因引起的环境污染侵权损害赔偿责任，因上述环境污染引起纠纷而导致暂停施工的，由此增加的费用和（或）延误的工期由承包人承担</w:t>
      </w:r>
      <w:r>
        <w:rPr>
          <w:rFonts w:hint="eastAsia" w:ascii="宋体" w:hAnsi="宋体" w:eastAsia="宋体" w:cs="宋体"/>
          <w:color w:val="auto"/>
          <w:sz w:val="24"/>
          <w:szCs w:val="24"/>
          <w:highlight w:val="none"/>
          <w:lang w:eastAsia="zh-CN"/>
        </w:rPr>
        <w:t>。</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10.进度计划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合同进度计划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按法律规定和合同约定完成工程，按合同约定的工作内容和施工进度要求，编制施工组织设计和施工措施计划，并对所有施工作业和施工方法的完备性和安全可靠性负责</w:t>
      </w:r>
      <w:r>
        <w:rPr>
          <w:rFonts w:hint="eastAsia" w:ascii="宋体" w:hAnsi="宋体" w:eastAsia="宋体" w:cs="宋体"/>
          <w:color w:val="auto"/>
          <w:sz w:val="24"/>
          <w:szCs w:val="24"/>
          <w:highlight w:val="none"/>
          <w:u w:val="single"/>
          <w:lang w:eastAsia="zh-CN"/>
        </w:rPr>
        <w:t>。</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编制施工方案的内容：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报送施工进度计划和施工方案的期限：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项目管理人员</w:t>
      </w:r>
      <w:r>
        <w:rPr>
          <w:rFonts w:hint="eastAsia" w:ascii="宋体" w:hAnsi="宋体" w:eastAsia="宋体" w:cs="宋体"/>
          <w:color w:val="auto"/>
          <w:sz w:val="24"/>
          <w:szCs w:val="24"/>
          <w:highlight w:val="none"/>
        </w:rPr>
        <w:t>批复施工进度计划和施工方案的期限：</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11.开工和竣工</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异常恶劣的气候条件</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异常恶劣的气候条件的范围：</w:t>
      </w:r>
      <w:r>
        <w:rPr>
          <w:rFonts w:hint="eastAsia" w:ascii="宋体" w:hAnsi="宋体" w:eastAsia="宋体" w:cs="宋体"/>
          <w:color w:val="auto"/>
          <w:sz w:val="24"/>
          <w:szCs w:val="24"/>
          <w:highlight w:val="none"/>
          <w:u w:val="single"/>
        </w:rPr>
        <w:t xml:space="preserve"> 按重庆市气象部门公布的50年一遇的最大降水(雪)量等资料确认。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的工期延误</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逾期违约金的计算方</w:t>
      </w:r>
      <w:r>
        <w:rPr>
          <w:rFonts w:hint="eastAsia" w:ascii="宋体" w:hAnsi="宋体" w:eastAsia="宋体" w:cs="宋体"/>
          <w:color w:val="auto"/>
          <w:sz w:val="24"/>
          <w:szCs w:val="24"/>
          <w:highlight w:val="none"/>
          <w:u w:val="single"/>
        </w:rPr>
        <w:t>法：延期按</w:t>
      </w:r>
      <w:r>
        <w:rPr>
          <w:rFonts w:hint="eastAsia" w:ascii="宋体" w:hAnsi="宋体" w:eastAsia="宋体" w:cs="宋体"/>
          <w:color w:val="auto"/>
          <w:sz w:val="24"/>
          <w:szCs w:val="24"/>
          <w:highlight w:val="none"/>
          <w:u w:val="single"/>
          <w:lang w:val="en-US" w:eastAsia="zh-CN"/>
        </w:rPr>
        <w:t>1000</w:t>
      </w:r>
      <w:r>
        <w:rPr>
          <w:rFonts w:hint="eastAsia" w:ascii="宋体" w:hAnsi="宋体" w:eastAsia="宋体" w:cs="宋体"/>
          <w:color w:val="auto"/>
          <w:sz w:val="24"/>
          <w:szCs w:val="24"/>
          <w:highlight w:val="none"/>
          <w:u w:val="single"/>
        </w:rPr>
        <w:t>元/天计算违约金，违约金总金额不得超过合同金额的</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%。延期天数=实际竣工日期-合同约定竣工日期。实际竣工日期以</w:t>
      </w:r>
      <w:r>
        <w:rPr>
          <w:rFonts w:hint="eastAsia" w:ascii="宋体" w:hAnsi="宋体" w:eastAsia="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收到竣工报告日为准。以上天数均为日历天。</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12.暂停施工</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暂停施工的责任</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承担暂停施工责任的其他情形：</w:t>
      </w:r>
      <w:r>
        <w:rPr>
          <w:rFonts w:hint="eastAsia" w:ascii="宋体" w:hAnsi="宋体" w:eastAsia="宋体" w:cs="宋体"/>
          <w:color w:val="auto"/>
          <w:sz w:val="24"/>
          <w:szCs w:val="24"/>
          <w:highlight w:val="none"/>
          <w:u w:val="single"/>
        </w:rPr>
        <w:t xml:space="preserve"> 由</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承担责任。</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13.工程质量</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13.1工程质量要求</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13.1.1</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必须按照工程设计要求、施工技术标准和合同约定，</w:t>
      </w:r>
      <w:r>
        <w:rPr>
          <w:rFonts w:hint="eastAsia" w:ascii="宋体" w:hAnsi="宋体" w:eastAsia="宋体" w:cs="宋体"/>
          <w:color w:val="auto"/>
          <w:sz w:val="24"/>
          <w:szCs w:val="24"/>
          <w:highlight w:val="none"/>
          <w:lang w:val="en-US" w:eastAsia="zh-CN"/>
        </w:rPr>
        <w:t>材料需经发包人、项目管理人员确认材料规格型号后方可进场使用，</w:t>
      </w:r>
      <w:r>
        <w:rPr>
          <w:rFonts w:hint="eastAsia" w:ascii="宋体" w:hAnsi="宋体" w:eastAsia="宋体" w:cs="宋体"/>
          <w:color w:val="auto"/>
          <w:sz w:val="24"/>
          <w:szCs w:val="24"/>
          <w:highlight w:val="none"/>
        </w:rPr>
        <w:t>对建筑材料、建筑构配件、设备和商品混凝土进行检验，检验应当有书面记录和专人签字；未经检验或者检验不合格的，不得使用。</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在施工中发现设计文件和图纸有差错的，应当及时提出意见和建议。经检查检验不合格的，影响正常施工的费用由承包人承担，工期不予顺延</w:t>
      </w:r>
      <w:r>
        <w:rPr>
          <w:rFonts w:hint="eastAsia" w:ascii="宋体" w:hAnsi="宋体" w:eastAsia="宋体" w:cs="宋体"/>
          <w:color w:val="auto"/>
          <w:sz w:val="24"/>
          <w:szCs w:val="24"/>
          <w:highlight w:val="none"/>
          <w:lang w:eastAsia="zh-CN"/>
        </w:rPr>
        <w:t>。</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13.1.2</w:t>
      </w:r>
      <w:r>
        <w:rPr>
          <w:rFonts w:hint="eastAsia" w:ascii="宋体" w:hAnsi="宋体" w:eastAsia="宋体" w:cs="宋体"/>
          <w:color w:val="auto"/>
          <w:sz w:val="24"/>
          <w:szCs w:val="24"/>
          <w:highlight w:val="none"/>
        </w:rPr>
        <w:t>发包人对隐蔽工程及其施工工艺、材料和工程设备进行隐蔽检查。经发包人检查确认质量符合隐蔽要求，并在验收记录上签字后，承包人才能进行覆盖。经发包人检查质量不合格的，承包人应在发包人指示的时间内完成修复，并由发包人重新检查，由此增加的费用和（或）延误的工期由承包人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承包人未通知发包人到场检查，私自将工程隐蔽部位覆盖的，发包人有权指示承包人钻孔探测或揭开检查，无论工程隐蔽部位质量是否合格，由此增加的费用和（或）延误的工期均由承包人承担</w:t>
      </w:r>
      <w:r>
        <w:rPr>
          <w:rFonts w:hint="eastAsia" w:ascii="宋体" w:hAnsi="宋体" w:eastAsia="宋体" w:cs="宋体"/>
          <w:color w:val="auto"/>
          <w:sz w:val="24"/>
          <w:szCs w:val="24"/>
          <w:highlight w:val="none"/>
          <w:lang w:eastAsia="zh-CN"/>
        </w:rPr>
        <w:t>。</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13.1.3</w:t>
      </w:r>
      <w:r>
        <w:rPr>
          <w:rFonts w:hint="eastAsia" w:ascii="宋体" w:hAnsi="宋体" w:eastAsia="宋体" w:cs="宋体"/>
          <w:color w:val="auto"/>
          <w:sz w:val="24"/>
          <w:szCs w:val="24"/>
          <w:highlight w:val="none"/>
        </w:rPr>
        <w:t>因承包人原因造成工程不合格的，发包人有权随时要求承包人采取补救措施，直至达到合同要求的质量标准，由此增加的费用和（或）延误的工期由承包人承担。无法补救的，拒绝接收全部或部分工程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因承包人原因造成工程的缺陷或损坏，承包人拒绝维修或未能在合理期限内修复缺陷或损坏，发包人有权自行修复或委托第三方修复，所需费用由承包人承担</w:t>
      </w:r>
      <w:r>
        <w:rPr>
          <w:rFonts w:hint="eastAsia" w:ascii="宋体" w:hAnsi="宋体" w:eastAsia="宋体" w:cs="宋体"/>
          <w:color w:val="auto"/>
          <w:sz w:val="24"/>
          <w:szCs w:val="24"/>
          <w:highlight w:val="none"/>
          <w:lang w:eastAsia="zh-CN"/>
        </w:rPr>
        <w:t>。</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13.1.4</w:t>
      </w:r>
      <w:r>
        <w:rPr>
          <w:rFonts w:hint="eastAsia" w:ascii="宋体" w:hAnsi="宋体" w:eastAsia="宋体" w:cs="宋体"/>
          <w:color w:val="auto"/>
          <w:sz w:val="24"/>
          <w:szCs w:val="24"/>
          <w:highlight w:val="none"/>
        </w:rPr>
        <w:t>交付竣工验收的工程项目，必须符合规定的建筑工程质量标准，有完整的工程技术经济资料和经签署的工程保修书，并具备国家规定的其他竣工条件。建筑工程竣工经验收合格后，方可交付使用；未经验收或者验收不合格的，不得交付使用。</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13.1.5</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、项目管理人员和</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在工程建设中，按照有关规范和上级有关要求进行验收，并执行以下规定：</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1、经过审查的设计图纸、设计变更、图纸会审纪要和相关设计图集；</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项目管理人员</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在工程建设中，应执行重庆市建筑工程相关地方标准。</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的质量检查</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提交工程质量保证措施文件的期限：     </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14.变更</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.1变更的范围和内容</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变更的范围与内容：变更的范围和内容以</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发出的书面变更令为准。</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变更程序</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变更估价</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提交变更报价书的期限：</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应在收到变更指示或变更意向书后的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天内，向</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提交变更报价书。</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 xml:space="preserve">商定或确定变更价格的期限： </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应在收到</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变更报价书后的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天内完成价格核定报</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审核同意后与</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商定或确定变更价格。</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变更的估价原则</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1.属于设计变更的项目，则由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按照定额执行定额执行2</w:t>
      </w:r>
      <w:r>
        <w:rPr>
          <w:rFonts w:hint="eastAsia" w:ascii="宋体" w:hAnsi="宋体" w:eastAsia="宋体" w:cs="宋体"/>
          <w:color w:val="auto"/>
          <w:sz w:val="24"/>
          <w:szCs w:val="24"/>
          <w:highlight w:val="none"/>
          <w:lang w:eastAsia="zh-CN"/>
        </w:rPr>
        <w:t>2018年《重庆市房屋建筑与装饰工程计价定额》、2018年《重庆市通用安装计价定额》等及相关配套文件；《重庆市城乡建设委员会关于适用增值税新税率调整建筑工程计价依据的通知》（渝建（2019）143号）及相关配套文件</w:t>
      </w:r>
      <w:r>
        <w:rPr>
          <w:rFonts w:hint="eastAsia" w:ascii="宋体" w:hAnsi="宋体" w:eastAsia="宋体" w:cs="宋体"/>
          <w:color w:val="auto"/>
          <w:sz w:val="24"/>
          <w:szCs w:val="24"/>
          <w:highlight w:val="none"/>
        </w:rPr>
        <w:t>；《重庆市城乡建设委员会关于适用增值税新税率调整建筑工程计价依据的通知》（渝建（2019）143号）及相关配套文件，人工及材料价格调整按合同施工期间《重庆工程造价信息》公布的荣昌地区指导价均价执行，未有的材料价格必须经</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认质认价后办理结算，总价下浮5%（认质认价的材料价格、安全文明施工费及税金除外）；</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2.其中的人工、材料价格按施工期间的《重庆工程造价信息》公布的荣昌地区指导价均价执行，未有的材料价格以</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代表单位、政府监督部门核质核价执行。</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14.4</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的合理化建议</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14.5</w:t>
      </w:r>
      <w:r>
        <w:rPr>
          <w:rFonts w:hint="eastAsia" w:ascii="宋体" w:hAnsi="宋体" w:eastAsia="宋体" w:cs="宋体"/>
          <w:color w:val="auto"/>
          <w:sz w:val="24"/>
          <w:szCs w:val="24"/>
          <w:highlight w:val="none"/>
        </w:rPr>
        <w:t xml:space="preserve"> 对</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提出合理化建议的奖励方法： </w:t>
      </w:r>
      <w:r>
        <w:rPr>
          <w:rFonts w:hint="eastAsia" w:ascii="宋体" w:hAnsi="宋体" w:eastAsia="宋体" w:cs="宋体"/>
          <w:color w:val="auto"/>
          <w:sz w:val="24"/>
          <w:szCs w:val="24"/>
          <w:highlight w:val="none"/>
          <w:u w:val="single"/>
        </w:rPr>
        <w:t>不采用 。</w:t>
      </w:r>
    </w:p>
    <w:p>
      <w:pPr>
        <w:keepNext w:val="0"/>
        <w:keepLines w:val="0"/>
        <w:kinsoku/>
        <w:wordWrap/>
        <w:overflowPunct/>
        <w:topLinePunct w:val="0"/>
        <w:bidi w:val="0"/>
        <w:adjustRightInd w:val="0"/>
        <w:snapToGrid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暂估价</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暂估价由</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认质认价办理结算。</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16.价格调整</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16.1物价波动引起的价格调整：不调整 。</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17.计量与支付</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17.1计量</w:t>
      </w:r>
      <w:r>
        <w:rPr>
          <w:rFonts w:hint="eastAsia" w:ascii="宋体" w:hAnsi="宋体" w:eastAsia="宋体" w:cs="宋体"/>
          <w:color w:val="auto"/>
          <w:sz w:val="24"/>
          <w:szCs w:val="24"/>
          <w:highlight w:val="none"/>
        </w:rPr>
        <w:tab/>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计量周期</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本合同的计量周期：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总价子目的计量</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总价子目的计量方法：按</w:t>
      </w:r>
      <w:r>
        <w:rPr>
          <w:rFonts w:hint="eastAsia" w:ascii="宋体" w:hAnsi="宋体" w:eastAsia="宋体" w:cs="宋体"/>
          <w:color w:val="auto"/>
          <w:sz w:val="24"/>
          <w:szCs w:val="24"/>
          <w:highlight w:val="none"/>
          <w:lang w:eastAsia="zh-CN"/>
        </w:rPr>
        <w:t>项目管理人员</w:t>
      </w:r>
      <w:r>
        <w:rPr>
          <w:rFonts w:hint="eastAsia" w:ascii="宋体" w:hAnsi="宋体" w:eastAsia="宋体" w:cs="宋体"/>
          <w:color w:val="auto"/>
          <w:sz w:val="24"/>
          <w:szCs w:val="24"/>
          <w:highlight w:val="none"/>
        </w:rPr>
        <w:t>批准的各阶段工程形象目标进行计量。</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17.2预付款</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17.2.1预付款</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预付款额度和预付方法： </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17.2.2预付款保函</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预付款保函的提交时间：  无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17.2.3预付款的扣回与还清</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预付款的扣回办法：  无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17.3进度款</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进度付款申请单</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进度付款申请单的份数：</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份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进度付款申请单的内容： (1)付款次数或编号； (2)截至本次付款周期末已实施工程的价款；(3)变更金额； (4)索赔金额； (5)本次扣减的质量保证金； (6)根据合同应增加和扣减的其他金额。</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进度付款证书和支付时间</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进度款支付方法：</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工程竣工验收合格后，</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提供合法有效的增值税发票，</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收到发票后10个工作日内支付至合同金额的60%；</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审计结束后，</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提供合法有效的增值税发票，</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在收到发票后10个工作日支付至审定金额的97%；</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剩余3%在工程质保期满后15个工作日内一次性无息退还。</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17.4质量保证金</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17.4.1质量保证金的金额或比例：审定金额的3%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17.5结算</w:t>
      </w:r>
      <w:r>
        <w:rPr>
          <w:rFonts w:hint="eastAsia" w:ascii="宋体" w:hAnsi="宋体" w:eastAsia="宋体" w:cs="宋体"/>
          <w:color w:val="auto"/>
          <w:sz w:val="24"/>
          <w:szCs w:val="24"/>
          <w:highlight w:val="none"/>
          <w:lang w:eastAsia="zh-CN"/>
        </w:rPr>
        <w:t>原则</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结算总价=成交价±设计变更、技术洽商、现场签证结算价±工程量计算偏差调整±专业及材料暂估价据实调整±</w:t>
      </w:r>
      <w:r>
        <w:rPr>
          <w:rFonts w:hint="eastAsia" w:ascii="宋体" w:hAnsi="宋体" w:eastAsia="宋体" w:cs="宋体"/>
          <w:color w:val="auto"/>
          <w:sz w:val="24"/>
          <w:szCs w:val="24"/>
          <w:highlight w:val="none"/>
          <w:lang w:eastAsia="zh-CN"/>
        </w:rPr>
        <w:t>成交价</w:t>
      </w:r>
      <w:r>
        <w:rPr>
          <w:rFonts w:hint="eastAsia" w:ascii="宋体" w:hAnsi="宋体" w:eastAsia="宋体" w:cs="宋体"/>
          <w:color w:val="auto"/>
          <w:sz w:val="24"/>
          <w:szCs w:val="24"/>
          <w:highlight w:val="none"/>
        </w:rPr>
        <w:t>安全文明施工费据实调整±合同约定的其他因素。</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17.5.</w:t>
      </w:r>
      <w:r>
        <w:rPr>
          <w:rFonts w:hint="eastAsia" w:ascii="宋体" w:hAnsi="宋体" w:eastAsia="宋体" w:cs="宋体"/>
          <w:color w:val="auto"/>
          <w:sz w:val="24"/>
          <w:szCs w:val="24"/>
          <w:highlight w:val="none"/>
        </w:rPr>
        <w:t>1.具体结算办法如下：</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1）工程量清单报价中有相同子项的，按该子项的中标综合单价执行；</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2）工程量清单报价中有类似子项的，参照竞标报价中类似子项的中标综合单价执行（类似子项由</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审定）；</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量清单报价中无相同子项或类似子项的，定额执行2018年《重庆市房屋建筑与装饰工程计价定额》、2018年《重庆市通用安装计价定额》等及相关配套文件；《重庆市城乡建设委员会关于适用增值税新税率调整建筑工程计价依据的通知》（渝建（2019）143号）及相关配套文件；《重庆市城乡建设委员会关于适用增值税新税率调整建筑工程计价依据的通知》（渝建（2019）143号）及相关配套文件，人工及材料价格调整按合同施工期间《重庆工程造价信息》公布的荣昌地区指导价均价执行，未有的材料价格必须经</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认质认价后办理结算，总价下浮5%（认质认价的材料价格、安全文明施工费及税金除外）；</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原因引起的工程量增加，不予计量、计价。</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17.5.</w:t>
      </w:r>
      <w:r>
        <w:rPr>
          <w:rFonts w:hint="eastAsia" w:ascii="宋体" w:hAnsi="宋体" w:eastAsia="宋体" w:cs="宋体"/>
          <w:color w:val="auto"/>
          <w:sz w:val="24"/>
          <w:szCs w:val="24"/>
          <w:highlight w:val="none"/>
        </w:rPr>
        <w:t>2.工程量计算偏差包括工程量清单少量、多量、漏项、多项，其中少量、多量在±5%（含5%）以内不予调整。</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17.5.</w:t>
      </w:r>
      <w:r>
        <w:rPr>
          <w:rFonts w:hint="eastAsia" w:ascii="宋体" w:hAnsi="宋体" w:eastAsia="宋体" w:cs="宋体"/>
          <w:color w:val="auto"/>
          <w:sz w:val="24"/>
          <w:szCs w:val="24"/>
          <w:highlight w:val="none"/>
        </w:rPr>
        <w:t>3.专业工程暂估价和材料的暂定价格由</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认质认价办理结算。</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17.5.</w:t>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本项目结算最终以相关单位审定的金额为准。</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17.5.</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其他要求</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在合同签订后,承包人应对照招标的施工图和清单，将量差、设计中选材与预算选材不符、漏项等问题认真清理,将预算漏项、量差使算金额在合同签订后30天内报送发包人,由发包人会同原预算单位、设计单位、项目管理人员单位等共同复核,复核后各方签字确认。凡因承包人自身原因在合同签订30天之内未报送的,按5.3所述的条款处理。</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5.2若承包人报送的预算漏项、量差估算金额与该部分的审定金额比较,审减率在5%以上的，则视为承包人违约，违约金=该部分的核金额*(审减率-5%)。此违约金需由审核单位确认并体现在审核报告中。</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5.3因承包人自身原因，在合同签订后30天内，未提供5.1中要求资料的，视为承包人放弃将量差、漏项导致的增加工程投资纳入结算的权利，且承包人必须完成以下施工内容,不得再纳入结算;</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(1)清单漏项的,承包人必须按图施工;</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(2)按招标施工图计算的实际工程量超过预算工程量，承包人必须按图施工,不调整预算少量部分:</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(3）若招标施工图设计的材料与招标预算清单中选用的材料不一致且设计选用的材料单价高于预算中材料单价的,由发包人结合设计单位意见和愿设计材料单价自主选择材料,并按投标清单报价结算；</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（4）其他预算问题，承包人必须按图施工，且在结算时一律不予认可。</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17.6最终结清</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17.6.1最终结清申请单</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最终结清申请单的份数和提交期限： 在缺陷责任期</w:t>
      </w:r>
      <w:r>
        <w:rPr>
          <w:rFonts w:hint="eastAsia" w:ascii="宋体" w:hAnsi="宋体" w:eastAsia="宋体" w:cs="宋体"/>
          <w:color w:val="auto"/>
          <w:sz w:val="24"/>
          <w:szCs w:val="24"/>
          <w:highlight w:val="none"/>
          <w:lang w:eastAsia="zh-CN"/>
        </w:rPr>
        <w:t>到期</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天内提交</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份最终结清申请单 。</w:t>
      </w:r>
    </w:p>
    <w:p>
      <w:pPr>
        <w:keepNext w:val="0"/>
        <w:keepLines w:val="0"/>
        <w:kinsoku/>
        <w:wordWrap/>
        <w:overflowPunct/>
        <w:topLinePunct w:val="0"/>
        <w:bidi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18.竣工验收</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竣工验收申请报告</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竣工资料内容：符合重庆市档案管理的规定。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竣工资料份数：一式五套，另附电子版一套。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验收</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 xml:space="preserve">实际竣工日期：经验收合格工程的实际竣工日期以验收合格日为准，则在工程接收证书中写明验收合格日为实际竣工日期。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施工期运行</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.1需要施工期运行单位工程或工程设备： 无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试运行</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.1试运行的组织及费用承担：</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竣工清场</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.1竣工清场：</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负责按照通用条款的要求在竣工验收前完成竣工清场相关工作及费用。</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施工队伍的撤离</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施工人员、施工设备及其临时工程撤离的要求：执行通用条款。        </w:t>
      </w:r>
    </w:p>
    <w:p>
      <w:pPr>
        <w:keepNext w:val="0"/>
        <w:keepLines w:val="0"/>
        <w:kinsoku/>
        <w:wordWrap/>
        <w:overflowPunct/>
        <w:topLinePunct w:val="0"/>
        <w:bidi w:val="0"/>
        <w:adjustRightInd w:val="0"/>
        <w:snapToGrid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19.缺陷责任与保修责任</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保修责任</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工程质量保修范围、期限和责任：按国家有关规定。</w:t>
      </w:r>
    </w:p>
    <w:p>
      <w:pPr>
        <w:keepNext w:val="0"/>
        <w:keepLines w:val="0"/>
        <w:kinsoku/>
        <w:wordWrap/>
        <w:overflowPunct/>
        <w:topLinePunct w:val="0"/>
        <w:bidi w:val="0"/>
        <w:adjustRightInd w:val="0"/>
        <w:snapToGrid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20.保险</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20.1工程保险</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投保人：</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应以</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的共同名义向双方同意的保险人投保建筑工程一切险、拆迁工程一切险、以及以下所要求的各种保险，投保所需的费用已含在投标报价中，由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自行承担。 </w:t>
      </w:r>
    </w:p>
    <w:p>
      <w:pPr>
        <w:keepNext w:val="0"/>
        <w:keepLines w:val="0"/>
        <w:kinsoku/>
        <w:wordWrap/>
        <w:overflowPunct/>
        <w:topLinePunct w:val="0"/>
        <w:bidi w:val="0"/>
        <w:adjustRightInd w:val="0"/>
        <w:snapToGrid w:val="0"/>
        <w:spacing w:beforeAutospacing="0" w:afterAutospacing="0"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投保内容： 按通用条款20.1、20.2、20.3、20.4、20.5条执行。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保险金额、保险费率和保险期限：按照有关法律规定。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第三者责任险</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第三者责任险的保险费率：由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与保险人商议确定。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第三者责任险的保险金额：由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与保险人商议确定。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其他保险</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需要投保其他内容、保险金额、费率及期限等：由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自行考虑确定，费用由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自行承担。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对各项保险的一般要求</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.1保险凭证</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保险条件：</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应以</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的共同名义对由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风险造成的事故提供保险。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提交保险凭证的期限：合同签订日起20天以内。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对各项保险的一般要求</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保险金不足以补偿损失时，应由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和(或)</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 xml:space="preserve">负责补偿的范围与金额：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永久工程损失保险赔偿与实际损失的差额由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补偿，临时工程、施工设备和施工人员损失保险赔偿与实际损失的差额由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补偿。 </w:t>
      </w:r>
    </w:p>
    <w:p>
      <w:pPr>
        <w:keepNext w:val="0"/>
        <w:keepLines w:val="0"/>
        <w:kinsoku/>
        <w:wordWrap/>
        <w:overflowPunct/>
        <w:topLinePunct w:val="0"/>
        <w:bidi w:val="0"/>
        <w:adjustRightInd w:val="0"/>
        <w:snapToGrid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21.不可抗力</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21.1不可抗力的确认</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不可抗力的范围： 按通用条款执行。 </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不可抗力后果及其处理</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不可抗力造成损害的责任</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不可抗力导致的人员伤亡、财产损失、费用增加和(或)工期延误由合同双方按以下方法承担： 按通用条款执行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kinsoku/>
        <w:wordWrap/>
        <w:overflowPunct/>
        <w:topLinePunct w:val="0"/>
        <w:bidi w:val="0"/>
        <w:adjustRightInd w:val="0"/>
        <w:snapToGrid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22.争议的解决</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争议的解决方式</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（1）向重庆仲裁委员会建设工程仲裁院申请仲裁；</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（2）向有管辖权的人民法院提起诉讼。</w:t>
      </w:r>
    </w:p>
    <w:p>
      <w:pPr>
        <w:keepNext w:val="0"/>
        <w:keepLines w:val="0"/>
        <w:kinsoku/>
        <w:wordWrap/>
        <w:overflowPunct/>
        <w:topLinePunct w:val="0"/>
        <w:bidi w:val="0"/>
        <w:adjustRightInd w:val="0"/>
        <w:snapToGrid w:val="0"/>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23.其他约定</w:t>
      </w:r>
    </w:p>
    <w:p>
      <w:pPr>
        <w:keepNext w:val="0"/>
        <w:keepLines w:val="0"/>
        <w:kinsoku/>
        <w:wordWrap/>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 xml:space="preserve"> 施工前的准备工作</w:t>
      </w:r>
    </w:p>
    <w:p>
      <w:pPr>
        <w:keepNext w:val="0"/>
        <w:keepLines w:val="0"/>
        <w:kinsoku/>
        <w:wordWrap/>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在合同签订后3个工作日，提供配合施工报建所需的所有应由施工方提供的各种证件和其他相应材料。</w:t>
      </w:r>
    </w:p>
    <w:p>
      <w:pPr>
        <w:keepNext w:val="0"/>
        <w:keepLines w:val="0"/>
        <w:kinsoku/>
        <w:wordWrap/>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2、在施工合同签订后的10个工作日内，提交经项目管理人员审核合格的施工组织设计。</w:t>
      </w:r>
    </w:p>
    <w:p>
      <w:pPr>
        <w:keepNext w:val="0"/>
        <w:keepLines w:val="0"/>
        <w:kinsoku/>
        <w:wordWrap/>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第1或第2条工作不能按期完成，每延迟一天按1000元计算延期违约金，在履约保证金中扣除。当</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完成第1和第2条实际耗时超出规定时间的2倍，将被视为不能履约，</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有权解除合同，没收全部履约保证金。</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 xml:space="preserve"> 施工过程中的进度管理</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施工组织计划必须含依据合同总工期 “倒排工程进度计划”，同时明确各阶段施工天数。</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在各阶段施工计划完成后，向项目管理人员工程师提交已完工程报告及下一阶段施工进度计划，由项目管理人员工程师组织相关部门在3天内按合同、设计及规范要求进行验收，并确认下一阶段施工计划。</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2、如遇下列情况，经</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确认后书面形式通知顺延工期：（1）因</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原因引起的重大设计变更直接影响工程进度；（2）人力不可抗拒的自然灾害。</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以书面形式提出工期顺延的要求，应于各阶段验收前报送印证材料供审核和确认。没有按时上报则视为该阶段无工期顺延。</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3、施工过程中，凡未能按“倒排工程进度计划”规定耗时天数完成各阶段任务的，每延迟一天按500元计算罚款，在履约保证金中扣除。</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在各阶段任务完成（验收）时应以书面形式通知施工方，明确延期天数及扣款金额，由施工方项目经理签收，无人签收时，由</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通过传真或邮件向施工方发出通知视为送达（施工合同中必须留有施工方的传真、邮箱）。有意逃避签收的，</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可以建议区建委将该公司及项目经理纳入黑名单并按相关规定处理。</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4、除</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进行重大设计变更或不可抗力原因外，其他因素导致工期延误达到以下情形之一，在</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多次书面通知不及时整改或整改无效后，</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将视为不能履约：</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（1）某施工阶段实际验收完成时间比计划倒排工期中约定的完成时间延后10天及以上时。</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被视为不能履约的，</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有权终止合同，没收</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履约保证金并追偿由此给</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造成的损失。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天内清理退场，损失由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有异议的，不得干扰现场施工，可在退场后，提交重庆仲裁委员会仲裁。若干扰后续施工的，依法追究责任。</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竣工时间延误罚款</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1、约定竣工日期为合同工期。凡因</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重大设计变更或不可抗力造成的工期延误，均应在延误时间的施工阶段验收前延期签单，在结算审计时提交审计部门。</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2、若工程不能在合同约定竣工日期前取得竣工验收报告，延期违约金按</w:t>
      </w: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rPr>
        <w:t>元/天计算，违约金总金额不得超过合同金额的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%，于结算审计后在工程尾款中扣除。竣工延期违约金不得与各阶段施工延期违约金（已在履约保证金中扣除）相抵扣。</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3、在工程竣工验收后，30天内完成结算送审工作，因</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原因延期一天按100元计算违约金，违约金总金额不得超过合同金额的2%从工程尾款中扣除。</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结算审计审减费用</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工程竣工结算报送上级审计单位审计时，基本审计费和审减工程造价金额在报送金额5%（含5%）范围内的审计费由</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承担，审减金额超过报送金额5%范围以上的审减费用由承包单位负责。</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本工程结算最终以相关单位审定的金额为准。</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在施工过程中，未经</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同意，不得擅自更改响应文件中填报的项目经理、项目技术负责人和相关管理人员，否则</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有权终止施工合同，没收履约保证金，</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造成的损失超过履约保证金的，还应对超过部分进行赔偿。</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技术措施费包干使用。</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不得拖欠民工工资，如若拖欠，</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有权将履约担保金用于支付</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认可的民工工资（由承包方盖章的工资条或承包方委托代理人签字的工资条），从工程进度款中扣除。</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本工程严禁挂靠、转包及违法分包，</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必须以本企业建制的项目管理班子和施工力量为承建主体，否则，在履行施工合同阶段，</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有权终止承包合同，追究</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相应的法律责任。</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编制的交竣工结算造价经</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或其指定审核单位审核后，审减率超过5%部分，审核单位审减效益费由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与指定审核单位签订的合同标准承担。</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在施工过程中，未经</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同意，不得擅自更改填报的项目经理、技术负责人，否则</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有权终止施工合同，没收履约保证金，</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造成的损失超过履约保证金的，还应对超过部分进行赔偿。</w:t>
      </w:r>
    </w:p>
    <w:p>
      <w:pPr>
        <w:keepNext w:val="0"/>
        <w:keepLines w:val="0"/>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在工程施工期间，如果需要更换所报项目经理或技术负责人名单时，必须事先与</w:t>
      </w:r>
      <w:r>
        <w:rPr>
          <w:rFonts w:hint="eastAsia" w:ascii="宋体" w:hAnsi="宋体" w:eastAsia="宋体" w:cs="宋体"/>
          <w:color w:val="auto"/>
          <w:sz w:val="24"/>
          <w:szCs w:val="24"/>
          <w:highlight w:val="none"/>
          <w:lang w:eastAsia="zh-CN"/>
        </w:rPr>
        <w:t>项目管理人员</w:t>
      </w:r>
      <w:r>
        <w:rPr>
          <w:rFonts w:hint="eastAsia" w:ascii="宋体" w:hAnsi="宋体" w:eastAsia="宋体" w:cs="宋体"/>
          <w:color w:val="auto"/>
          <w:sz w:val="24"/>
          <w:szCs w:val="24"/>
          <w:highlight w:val="none"/>
        </w:rPr>
        <w:t>工程师协商并取得</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的同意。未经</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项目管理人员</w:t>
      </w:r>
      <w:r>
        <w:rPr>
          <w:rFonts w:hint="eastAsia" w:ascii="宋体" w:hAnsi="宋体" w:eastAsia="宋体" w:cs="宋体"/>
          <w:color w:val="auto"/>
          <w:sz w:val="24"/>
          <w:szCs w:val="24"/>
          <w:highlight w:val="none"/>
        </w:rPr>
        <w:t>工程师同意擅自更换项目经理或主要管理人员，</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有权中止合同。</w:t>
      </w:r>
    </w:p>
    <w:p>
      <w:pPr>
        <w:keepNext w:val="0"/>
        <w:keepLines w:val="0"/>
        <w:numPr>
          <w:ilvl w:val="0"/>
          <w:numId w:val="8"/>
        </w:numPr>
        <w:kinsoku/>
        <w:wordWrap/>
        <w:overflowPunct/>
        <w:topLinePunct w:val="0"/>
        <w:bidi w:val="0"/>
        <w:adjustRightInd w:val="0"/>
        <w:snapToGrid w:val="0"/>
        <w:spacing w:beforeAutospacing="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必须在荣昌办理税务登记并就地全额申报缴纳各项税费。</w:t>
      </w:r>
    </w:p>
    <w:p>
      <w:pPr>
        <w:pStyle w:val="35"/>
        <w:keepNext w:val="0"/>
        <w:keepLines w:val="0"/>
        <w:numPr>
          <w:ilvl w:val="0"/>
          <w:numId w:val="8"/>
        </w:numPr>
        <w:kinsoku/>
        <w:overflowPunct/>
        <w:topLinePunct w:val="0"/>
        <w:bidi w:val="0"/>
        <w:spacing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承包人在工程施工期间，应当采取措施保持施工现场平整，物料堆放整齐。在工程移交之前，承包人应当从施工现场清除承包人的全部工程设备、多余材料、垃圾和各种临时工程，并保持施工现场清洁整齐</w:t>
      </w:r>
      <w:r>
        <w:rPr>
          <w:rFonts w:hint="eastAsia" w:ascii="宋体" w:hAnsi="宋体" w:eastAsia="宋体" w:cs="宋体"/>
          <w:color w:val="auto"/>
          <w:sz w:val="24"/>
          <w:szCs w:val="24"/>
          <w:highlight w:val="none"/>
          <w:lang w:eastAsia="zh-CN"/>
        </w:rPr>
        <w:t>。</w:t>
      </w:r>
    </w:p>
    <w:p>
      <w:pPr>
        <w:pStyle w:val="35"/>
        <w:keepNext w:val="0"/>
        <w:keepLines w:val="0"/>
        <w:numPr>
          <w:ilvl w:val="0"/>
          <w:numId w:val="8"/>
        </w:numPr>
        <w:kinsoku/>
        <w:overflowPunct/>
        <w:topLinePunct w:val="0"/>
        <w:bidi w:val="0"/>
        <w:spacing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施工过程中注意成品保护，若保护不当造成的损失由承包人负责赔偿，造成的投诉，核查属实，对承包人进行1000元/次的处罚。</w:t>
      </w:r>
    </w:p>
    <w:p>
      <w:pPr>
        <w:pStyle w:val="35"/>
        <w:keepNext w:val="0"/>
        <w:keepLines w:val="0"/>
        <w:numPr>
          <w:ilvl w:val="0"/>
          <w:numId w:val="8"/>
        </w:numPr>
        <w:kinsoku/>
        <w:overflowPunct/>
        <w:topLinePunct w:val="0"/>
        <w:bidi w:val="0"/>
        <w:spacing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因承包人原因引起的暂停施工，承包人应承担由此增加的费用和（或）延误的工期</w:t>
      </w:r>
      <w:r>
        <w:rPr>
          <w:rFonts w:hint="eastAsia" w:ascii="宋体" w:hAnsi="宋体" w:eastAsia="宋体" w:cs="宋体"/>
          <w:color w:val="auto"/>
          <w:sz w:val="24"/>
          <w:szCs w:val="24"/>
          <w:highlight w:val="none"/>
          <w:lang w:eastAsia="zh-CN"/>
        </w:rPr>
        <w:t>。</w:t>
      </w:r>
    </w:p>
    <w:p>
      <w:pPr>
        <w:pStyle w:val="35"/>
        <w:keepNext w:val="0"/>
        <w:keepLines w:val="0"/>
        <w:numPr>
          <w:ilvl w:val="0"/>
          <w:numId w:val="8"/>
        </w:numPr>
        <w:kinsoku/>
        <w:overflowPunct/>
        <w:topLinePunct w:val="0"/>
        <w:bidi w:val="0"/>
        <w:spacing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由于承包人原因在施工场地内及其毗邻地带造成的发包人、</w:t>
      </w:r>
      <w:r>
        <w:rPr>
          <w:rFonts w:hint="eastAsia" w:ascii="宋体" w:hAnsi="宋体" w:eastAsia="宋体" w:cs="宋体"/>
          <w:color w:val="auto"/>
          <w:sz w:val="24"/>
          <w:szCs w:val="24"/>
          <w:highlight w:val="none"/>
          <w:lang w:eastAsia="zh-CN"/>
        </w:rPr>
        <w:t>项目管理人员</w:t>
      </w:r>
      <w:r>
        <w:rPr>
          <w:rFonts w:hint="eastAsia" w:ascii="宋体" w:hAnsi="宋体" w:eastAsia="宋体" w:cs="宋体"/>
          <w:color w:val="auto"/>
          <w:sz w:val="24"/>
          <w:szCs w:val="24"/>
          <w:highlight w:val="none"/>
        </w:rPr>
        <w:t>以及第三者人员伤亡和财产损失，由承包人负责赔偿</w:t>
      </w:r>
      <w:r>
        <w:rPr>
          <w:rFonts w:hint="eastAsia" w:ascii="宋体" w:hAnsi="宋体" w:eastAsia="宋体" w:cs="宋体"/>
          <w:color w:val="auto"/>
          <w:sz w:val="24"/>
          <w:szCs w:val="24"/>
          <w:highlight w:val="none"/>
          <w:lang w:eastAsia="zh-CN"/>
        </w:rPr>
        <w:t>。</w:t>
      </w:r>
    </w:p>
    <w:p>
      <w:pPr>
        <w:numPr>
          <w:ilvl w:val="0"/>
          <w:numId w:val="0"/>
        </w:numPr>
        <w:kinsoku/>
        <w:wordWrap/>
        <w:overflowPunct/>
        <w:topLinePunct w:val="0"/>
        <w:bidi w:val="0"/>
        <w:adjustRightInd w:val="0"/>
        <w:snapToGrid w:val="0"/>
        <w:spacing w:beforeLines="0" w:afterLines="0"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十六、施工前需单独接水表、电表，施工所需用水、用电由发包人负责。</w:t>
      </w:r>
    </w:p>
    <w:p>
      <w:pPr>
        <w:numPr>
          <w:ilvl w:val="0"/>
          <w:numId w:val="0"/>
        </w:numPr>
        <w:kinsoku/>
        <w:wordWrap/>
        <w:overflowPunct/>
        <w:topLinePunct w:val="0"/>
        <w:bidi w:val="0"/>
        <w:adjustRightInd w:val="0"/>
        <w:snapToGrid w:val="0"/>
        <w:spacing w:beforeLines="0" w:afterLines="0" w:line="400" w:lineRule="exac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val="en-US" w:eastAsia="zh-CN"/>
        </w:rPr>
        <w:t>合同附件</w:t>
      </w:r>
    </w:p>
    <w:p>
      <w:pPr>
        <w:numPr>
          <w:ilvl w:val="0"/>
          <w:numId w:val="0"/>
        </w:numPr>
        <w:kinsoku/>
        <w:wordWrap/>
        <w:overflowPunct/>
        <w:topLinePunct w:val="0"/>
        <w:bidi w:val="0"/>
        <w:adjustRightInd w:val="0"/>
        <w:snapToGrid w:val="0"/>
        <w:spacing w:beforeLines="0" w:afterLines="0" w:line="4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附件一：</w:t>
      </w:r>
      <w:r>
        <w:rPr>
          <w:rFonts w:hint="eastAsia" w:ascii="宋体" w:hAnsi="宋体" w:eastAsia="宋体" w:cs="宋体"/>
          <w:color w:val="auto"/>
          <w:sz w:val="24"/>
          <w:szCs w:val="24"/>
          <w:highlight w:val="none"/>
        </w:rPr>
        <w:t>工程质量保修书</w:t>
      </w:r>
    </w:p>
    <w:p>
      <w:pPr>
        <w:kinsoku/>
        <w:wordWrap/>
        <w:overflowPunct/>
        <w:topLinePunct w:val="0"/>
        <w:bidi w:val="0"/>
        <w:adjustRightInd w:val="0"/>
        <w:snapToGrid w:val="0"/>
        <w:spacing w:beforeLines="0" w:afterLines="0" w:line="40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附件二：工程建设项目廉政责任书</w:t>
      </w:r>
    </w:p>
    <w:p>
      <w:pPr>
        <w:kinsoku/>
        <w:wordWrap/>
        <w:overflowPunct/>
        <w:topLinePunct w:val="0"/>
        <w:bidi w:val="0"/>
        <w:adjustRightInd w:val="0"/>
        <w:snapToGrid w:val="0"/>
        <w:spacing w:beforeLines="0" w:afterLines="0" w:line="4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农民工工资支付承诺</w:t>
      </w:r>
    </w:p>
    <w:p>
      <w:pPr>
        <w:kinsoku/>
        <w:wordWrap/>
        <w:overflowPunct/>
        <w:topLinePunct w:val="0"/>
        <w:bidi w:val="0"/>
        <w:adjustRightInd w:val="0"/>
        <w:snapToGrid w:val="0"/>
        <w:spacing w:beforeLines="0" w:afterLines="0" w:line="40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附件四：施工安全责任承诺书</w:t>
      </w:r>
    </w:p>
    <w:p>
      <w:pPr>
        <w:kinsoku/>
        <w:wordWrap/>
        <w:overflowPunct/>
        <w:topLinePunct w:val="0"/>
        <w:bidi w:val="0"/>
        <w:adjustRightInd w:val="0"/>
        <w:snapToGrid w:val="0"/>
        <w:spacing w:beforeLines="0" w:afterLines="0" w:line="40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附件五：低价风险担保保函示范文本（独立保函）（如有）</w:t>
      </w:r>
    </w:p>
    <w:p>
      <w:pPr>
        <w:kinsoku/>
        <w:wordWrap/>
        <w:overflowPunct/>
        <w:topLinePunct w:val="0"/>
        <w:bidi w:val="0"/>
        <w:adjustRightInd w:val="0"/>
        <w:snapToGrid w:val="0"/>
        <w:spacing w:beforeLines="0" w:afterLines="0" w:line="400" w:lineRule="exact"/>
        <w:ind w:firstLine="1200" w:firstLineChars="500"/>
        <w:rPr>
          <w:rFonts w:hint="eastAsia" w:ascii="宋体" w:hAnsi="宋体" w:eastAsia="宋体" w:cs="宋体"/>
          <w:color w:val="auto"/>
          <w:sz w:val="24"/>
          <w:szCs w:val="24"/>
          <w:highlight w:val="none"/>
          <w:lang w:val="en-US" w:eastAsia="zh-CN"/>
        </w:rPr>
      </w:pPr>
    </w:p>
    <w:p>
      <w:pPr>
        <w:keepNext w:val="0"/>
        <w:keepLines w:val="0"/>
        <w:kinsoku/>
        <w:wordWrap/>
        <w:overflowPunct/>
        <w:topLinePunct w:val="0"/>
        <w:bidi w:val="0"/>
        <w:spacing w:line="400" w:lineRule="exact"/>
        <w:ind w:right="105" w:rightChars="5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lang w:val="en-US" w:eastAsia="zh-CN"/>
        </w:rPr>
        <w:t>附件一：</w:t>
      </w:r>
      <w:r>
        <w:rPr>
          <w:rFonts w:hint="eastAsia" w:ascii="宋体" w:hAnsi="宋体" w:eastAsia="宋体" w:cs="宋体"/>
          <w:b/>
          <w:bCs/>
          <w:color w:val="auto"/>
          <w:sz w:val="24"/>
          <w:szCs w:val="24"/>
          <w:highlight w:val="none"/>
        </w:rPr>
        <w:t>工程质量保修书</w:t>
      </w:r>
    </w:p>
    <w:p>
      <w:pPr>
        <w:keepNext w:val="0"/>
        <w:keepLines w:val="0"/>
        <w:kinsoku/>
        <w:wordWrap/>
        <w:overflowPunct/>
        <w:topLinePunct w:val="0"/>
        <w:bidi w:val="0"/>
        <w:spacing w:before="156" w:beforeLines="50" w:after="156" w:afterLines="5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工程质量保修书</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发包人和承包人根据《中华人民共和国建筑法》和《建设工程质量管理条例》，经协商一致就</w:t>
      </w:r>
    </w:p>
    <w:p>
      <w:pPr>
        <w:keepNext w:val="0"/>
        <w:keepLines w:val="0"/>
        <w:kinsoku/>
        <w:wordWrap/>
        <w:overflowPunct/>
        <w:topLinePunct w:val="0"/>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bookmarkStart w:id="21" w:name="_Toc532375687"/>
      <w:r>
        <w:rPr>
          <w:rFonts w:hint="eastAsia" w:ascii="宋体" w:hAnsi="宋体" w:eastAsia="宋体" w:cs="宋体"/>
          <w:color w:val="auto"/>
          <w:sz w:val="24"/>
          <w:szCs w:val="24"/>
          <w:highlight w:val="none"/>
        </w:rPr>
        <w:t>一、工程质量保修范围和内容</w:t>
      </w:r>
      <w:bookmarkEnd w:id="21"/>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承包人在质量保修期内，按照有关法律规定和合同约定，承担工程质量保修责任。</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承包人承包范围内容均属质量保修范围内容；其中：</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1.属于设计原因造成的质量问题，承包人负责维修，不留隐患，费用由发包人承担；</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2.属于施工造成的质量问题，承包人负责维修，不留隐患；</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3.属于业主使用不当造成的质量问题，配合抢修，费用由发包人承担。</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bookmarkStart w:id="22" w:name="_Toc532375688"/>
      <w:r>
        <w:rPr>
          <w:rFonts w:hint="eastAsia" w:ascii="宋体" w:hAnsi="宋体" w:eastAsia="宋体" w:cs="宋体"/>
          <w:color w:val="auto"/>
          <w:sz w:val="24"/>
          <w:szCs w:val="24"/>
          <w:highlight w:val="none"/>
        </w:rPr>
        <w:t>二、质量保修期</w:t>
      </w:r>
      <w:bookmarkEnd w:id="22"/>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根据《建设工程质量管理条例》及有关规定，本工程质量保修期约定如下：</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1.基础设施工程、房屋建筑的地基基础工程和主体结构工程，为设计文件规定的该工程的合理使用年限；</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2.屋面防水工程、有防水要求的卫生间、房间和外墙面的防渗漏，为5年；</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3.供热与供冷系统，为2个采暖期、供冷期；</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4.电气管线、给排水管道、设备安装和装修工程，为2年；</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5.其他项目保修期限：2年；</w:t>
      </w:r>
      <w:r>
        <w:rPr>
          <w:rFonts w:hint="eastAsia" w:ascii="宋体" w:hAnsi="宋体" w:eastAsia="宋体" w:cs="宋体"/>
          <w:i/>
          <w:color w:val="auto"/>
          <w:sz w:val="24"/>
          <w:szCs w:val="24"/>
          <w:highlight w:val="none"/>
        </w:rPr>
        <w:t>[提示：如有不同，根据具体情况修改]</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建设工程的保修期，自工程竣工验收合格之日起计算。</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bookmarkStart w:id="23" w:name="_Toc532375689"/>
      <w:r>
        <w:rPr>
          <w:rFonts w:hint="eastAsia" w:ascii="宋体" w:hAnsi="宋体" w:eastAsia="宋体" w:cs="宋体"/>
          <w:color w:val="auto"/>
          <w:sz w:val="24"/>
          <w:szCs w:val="24"/>
          <w:highlight w:val="none"/>
        </w:rPr>
        <w:t>三、质量保修责任</w:t>
      </w:r>
      <w:bookmarkEnd w:id="23"/>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bookmarkStart w:id="24" w:name="_Toc532375690"/>
      <w:r>
        <w:rPr>
          <w:rFonts w:hint="eastAsia" w:ascii="宋体" w:hAnsi="宋体" w:eastAsia="宋体" w:cs="宋体"/>
          <w:color w:val="auto"/>
          <w:sz w:val="24"/>
          <w:szCs w:val="24"/>
          <w:highlight w:val="none"/>
        </w:rPr>
        <w:t>四、保修费用</w:t>
      </w:r>
      <w:bookmarkEnd w:id="24"/>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保修费用由质量缺陷的责任方承担。</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bookmarkStart w:id="25" w:name="_Toc532375691"/>
      <w:r>
        <w:rPr>
          <w:rFonts w:hint="eastAsia" w:ascii="宋体" w:hAnsi="宋体" w:eastAsia="宋体" w:cs="宋体"/>
          <w:color w:val="auto"/>
          <w:sz w:val="24"/>
          <w:szCs w:val="24"/>
          <w:highlight w:val="none"/>
        </w:rPr>
        <w:t>五、双方约定的其他工程质量保修事项</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按国家相关法律和规定执行</w:t>
      </w:r>
      <w:r>
        <w:rPr>
          <w:rFonts w:hint="eastAsia" w:ascii="宋体" w:hAnsi="宋体" w:eastAsia="宋体" w:cs="宋体"/>
          <w:color w:val="auto"/>
          <w:sz w:val="24"/>
          <w:szCs w:val="24"/>
          <w:highlight w:val="none"/>
        </w:rPr>
        <w:t>。</w:t>
      </w:r>
      <w:bookmarkEnd w:id="25"/>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本工程质量保修书由发包人、承包人在工程竣工验收前共同签署，作为施工合同附件，其有效期限至保修期满。</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p>
    <w:p>
      <w:pPr>
        <w:pStyle w:val="2"/>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（盖单位公章）</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snapToGrid w:val="0"/>
          <w:color w:val="auto"/>
          <w:kern w:val="0"/>
          <w:sz w:val="24"/>
          <w:szCs w:val="24"/>
          <w:highlight w:val="none"/>
        </w:rPr>
      </w:pP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snapToGrid w:val="0"/>
          <w:color w:val="auto"/>
          <w:kern w:val="0"/>
          <w:sz w:val="24"/>
          <w:szCs w:val="24"/>
          <w:highlight w:val="none"/>
        </w:rPr>
      </w:pP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snapToGrid w:val="0"/>
          <w:color w:val="auto"/>
          <w:kern w:val="0"/>
          <w:sz w:val="24"/>
          <w:szCs w:val="24"/>
          <w:highlight w:val="none"/>
        </w:rPr>
      </w:pP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snapToGrid w:val="0"/>
          <w:color w:val="auto"/>
          <w:kern w:val="0"/>
          <w:sz w:val="24"/>
          <w:szCs w:val="24"/>
          <w:highlight w:val="none"/>
        </w:rPr>
      </w:pP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承包人：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（盖单位公章）</w:t>
      </w: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snapToGrid w:val="0"/>
          <w:color w:val="auto"/>
          <w:kern w:val="0"/>
          <w:sz w:val="24"/>
          <w:szCs w:val="24"/>
          <w:highlight w:val="none"/>
        </w:rPr>
      </w:pP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snapToGrid w:val="0"/>
          <w:color w:val="auto"/>
          <w:kern w:val="0"/>
          <w:sz w:val="24"/>
          <w:szCs w:val="24"/>
          <w:highlight w:val="none"/>
        </w:rPr>
      </w:pP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w:t>
      </w:r>
    </w:p>
    <w:p>
      <w:pPr>
        <w:keepNext w:val="0"/>
        <w:keepLines w:val="0"/>
        <w:kinsoku/>
        <w:wordWrap/>
        <w:overflowPunct/>
        <w:topLinePunct w:val="0"/>
        <w:bidi w:val="0"/>
        <w:spacing w:line="400" w:lineRule="exact"/>
        <w:ind w:firstLine="478" w:firstLineChars="200"/>
        <w:textAlignment w:val="auto"/>
        <w:rPr>
          <w:rFonts w:hint="eastAsia" w:ascii="宋体" w:hAnsi="宋体" w:eastAsia="宋体" w:cs="宋体"/>
          <w:snapToGrid w:val="0"/>
          <w:color w:val="auto"/>
          <w:spacing w:val="1"/>
          <w:w w:val="99"/>
          <w:kern w:val="0"/>
          <w:position w:val="-2"/>
          <w:sz w:val="24"/>
          <w:szCs w:val="24"/>
          <w:highlight w:val="none"/>
        </w:rPr>
      </w:pPr>
    </w:p>
    <w:p>
      <w:pPr>
        <w:keepNext w:val="0"/>
        <w:keepLines w:val="0"/>
        <w:kinsoku/>
        <w:wordWrap/>
        <w:overflowPunct/>
        <w:topLinePunct w:val="0"/>
        <w:bidi w:val="0"/>
        <w:spacing w:line="400" w:lineRule="exact"/>
        <w:ind w:firstLine="478" w:firstLineChars="200"/>
        <w:textAlignment w:val="auto"/>
        <w:rPr>
          <w:rFonts w:hint="eastAsia" w:ascii="宋体" w:hAnsi="宋体" w:eastAsia="宋体" w:cs="宋体"/>
          <w:snapToGrid w:val="0"/>
          <w:color w:val="auto"/>
          <w:spacing w:val="1"/>
          <w:w w:val="99"/>
          <w:kern w:val="0"/>
          <w:position w:val="-2"/>
          <w:sz w:val="24"/>
          <w:szCs w:val="24"/>
          <w:highlight w:val="none"/>
        </w:rPr>
      </w:pPr>
    </w:p>
    <w:p>
      <w:pPr>
        <w:keepNext w:val="0"/>
        <w:keepLines w:val="0"/>
        <w:kinsoku/>
        <w:wordWrap/>
        <w:overflowPunct/>
        <w:topLinePunct w:val="0"/>
        <w:bidi w:val="0"/>
        <w:spacing w:line="4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签约时间：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pPr>
        <w:keepNext w:val="0"/>
        <w:keepLines w:val="0"/>
        <w:pageBreakBefore w:val="0"/>
        <w:kinsoku/>
        <w:wordWrap/>
        <w:overflowPunct/>
        <w:topLinePunct w:val="0"/>
        <w:bidi w:val="0"/>
        <w:spacing w:line="400" w:lineRule="exact"/>
        <w:jc w:val="both"/>
        <w:textAlignment w:val="auto"/>
        <w:outlineLvl w:val="9"/>
        <w:rPr>
          <w:rFonts w:hint="eastAsia" w:ascii="宋体" w:hAnsi="宋体" w:eastAsia="宋体" w:cs="宋体"/>
          <w:b/>
          <w:color w:val="auto"/>
          <w:sz w:val="24"/>
          <w:szCs w:val="24"/>
          <w:highlight w:val="none"/>
          <w:lang w:val="en-US" w:eastAsia="zh-CN"/>
        </w:rPr>
      </w:pPr>
    </w:p>
    <w:p>
      <w:pPr>
        <w:keepNext w:val="0"/>
        <w:keepLines w:val="0"/>
        <w:kinsoku/>
        <w:wordWrap/>
        <w:overflowPunct/>
        <w:topLinePunct w:val="0"/>
        <w:bidi w:val="0"/>
        <w:spacing w:line="40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pPr>
        <w:keepNext w:val="0"/>
        <w:keepLines w:val="0"/>
        <w:pageBreakBefore w:val="0"/>
        <w:kinsoku/>
        <w:wordWrap/>
        <w:overflowPunct/>
        <w:topLinePunct w:val="0"/>
        <w:bidi w:val="0"/>
        <w:spacing w:line="400" w:lineRule="exact"/>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附件二：工程建设项目廉政责任书</w:t>
      </w:r>
    </w:p>
    <w:p>
      <w:pPr>
        <w:keepNext w:val="0"/>
        <w:keepLines w:val="0"/>
        <w:pageBreakBefore w:val="0"/>
        <w:kinsoku/>
        <w:wordWrap/>
        <w:overflowPunct/>
        <w:topLinePunct w:val="0"/>
        <w:bidi w:val="0"/>
        <w:adjustRightInd w:val="0"/>
        <w:snapToGrid w:val="0"/>
        <w:spacing w:line="400" w:lineRule="exact"/>
        <w:ind w:firstLine="482"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工程建设项目廉政责任书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工程项目名称：</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工程项目地址：</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建设单位（甲方）：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承包人</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甲乙双方的责任</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（一）应严格遵守国家关于市场准入、项目招标投标、工程建设、施工安装和市场活动等有关法律、法规，相关政策，以及廉政建设的各项规定。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（二）严格执行建设工程项目承发包合同文件，自觉按合同办事。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（三）业务活动必须坚持公开、公平、公正、诚信、透明的原则（除法律法规另有规定者外），不得为获取不正当的利益，损害国家、集体和对方利益，不得违反工程建设管理、施工安装的规章制度。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（四）发现对方在业务活动中有违规、违纪、违法行为的，应及时提醒对方，情节严重的，应向其上级主管部门或纪检监察、司法等有关机关举报。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甲方的责任</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甲方的领导和从事该建设工程项目的工作人员，在工程建设的事前、事中、事后应遵守以下规定：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（一）不准向乙方和相关单位索要或接受回扣、礼金、有价证券、贵重物品和好处费、感谢费等。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（二）不准在乙方和相关单位报销任何应由甲方或个人支付的费用。</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（三）不准要求、暗示或接受乙方和相关单位为个人装修住房、婚丧嫁娶、配偶子女的工作安排以及出国（境）、旅游等提供方便。</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（四）不准参加有可能影响公正执行公务的乙方和相关单位的宴请和健身、娱乐等活动。</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乙方的责任</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应与甲方保持正常的业务交往，按照有关法律法规和程序开展业务工作，严格执行工程建设的有关方针、政策，尤其是有关建筑施工安装的强制性标准和规范，并遵守以下规定：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（一）不准以任何理由向甲方、相关单位及其工作人员索要、接受或赠送礼金、有价证券、贵重物品和回扣、好处费、感谢费等。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（二）不准以任何理由为甲方和相关单位报销应由对方或个人支付的费用。</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（三）不准接受或暗示为甲方、相关单位或个人装修住房、婚丧嫁娶、配偶子女的工作安排以及出国（境）、旅游等提供方便。</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（四）不准以任何理由为甲方、相关单位或个人组织有可能影响公正执行公务的宴请、健身、娱乐等活动。</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违约责任</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本责任书作为工程施工合同的附件，与工程施工合同具有同等法律效力。经双方签署后立即生效。</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本责任书的有效期为双方签署之日起至该工程项目竣工验收合格时止。</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本责任书一式四份，由甲乙双方各执一份，送交甲乙双方的监督单位各一份。</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甲方单位：（盖章）　　　　　　　　　　乙方单位：（盖章）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或授权代表</w:t>
      </w:r>
      <w:r>
        <w:rPr>
          <w:rFonts w:hint="eastAsia" w:ascii="宋体" w:hAnsi="宋体" w:eastAsia="宋体" w:cs="宋体"/>
          <w:color w:val="auto"/>
          <w:sz w:val="24"/>
          <w:szCs w:val="24"/>
          <w:highlight w:val="none"/>
        </w:rPr>
        <w:t>：　　　　　　　　法定代表人：</w:t>
      </w:r>
    </w:p>
    <w:p>
      <w:pPr>
        <w:keepNext w:val="0"/>
        <w:keepLines w:val="0"/>
        <w:pageBreakBefore w:val="0"/>
        <w:kinsoku/>
        <w:wordWrap/>
        <w:overflowPunct/>
        <w:topLinePunct w:val="0"/>
        <w:bidi w:val="0"/>
        <w:adjustRightInd w:val="0"/>
        <w:snapToGrid w:val="0"/>
        <w:spacing w:line="400" w:lineRule="exact"/>
        <w:ind w:left="5637" w:leftChars="170" w:hanging="5280" w:hangingChars="2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采购办经办人：</w:t>
      </w:r>
    </w:p>
    <w:p>
      <w:pPr>
        <w:keepNext w:val="0"/>
        <w:keepLines w:val="0"/>
        <w:pageBreakBefore w:val="0"/>
        <w:kinsoku/>
        <w:wordWrap/>
        <w:overflowPunct/>
        <w:topLinePunct w:val="0"/>
        <w:bidi w:val="0"/>
        <w:adjustRightInd w:val="0"/>
        <w:snapToGrid w:val="0"/>
        <w:spacing w:line="400" w:lineRule="exact"/>
        <w:ind w:left="5637" w:leftChars="170" w:hanging="5280" w:hangingChars="2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地址：</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甲方监督单位（盖章）　　　　　　　　　乙方监督单位（盖章）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pPr>
        <w:pStyle w:val="28"/>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p>
    <w:p>
      <w:pPr>
        <w:keepNext w:val="0"/>
        <w:keepLines w:val="0"/>
        <w:kinsoku/>
        <w:wordWrap/>
        <w:overflowPunct/>
        <w:topLinePunct w:val="0"/>
        <w:bidi w:val="0"/>
        <w:spacing w:line="400" w:lineRule="exact"/>
        <w:ind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农民工工资支付承诺</w:t>
      </w:r>
    </w:p>
    <w:p>
      <w:pPr>
        <w:keepNext w:val="0"/>
        <w:keepLines w:val="0"/>
        <w:pageBreakBefore w:val="0"/>
        <w:kinsoku/>
        <w:wordWrap/>
        <w:overflowPunct/>
        <w:topLinePunct w:val="0"/>
        <w:autoSpaceDE w:val="0"/>
        <w:autoSpaceDN w:val="0"/>
        <w:bidi w:val="0"/>
        <w:adjustRightInd w:val="0"/>
        <w:snapToGrid w:val="0"/>
        <w:spacing w:line="400" w:lineRule="exact"/>
        <w:ind w:right="-1"/>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农民工工资支付承诺</w:t>
      </w:r>
    </w:p>
    <w:p>
      <w:pPr>
        <w:keepNext w:val="0"/>
        <w:keepLines w:val="0"/>
        <w:pageBreakBefore w:val="0"/>
        <w:kinsoku/>
        <w:wordWrap/>
        <w:overflowPunct/>
        <w:topLinePunct w:val="0"/>
        <w:bidi w:val="0"/>
        <w:spacing w:line="400" w:lineRule="exact"/>
        <w:ind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为了切实维护建筑农民工的合法权益，确保社会和企业稳定，根据各级政府和相关主管部门的相关要求，结合我公司承包的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工程的劳务施工实际情况，特作如下慎重承诺：</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1.我公司将严格按照有关部门相关规定和要求，切实做好农民工工资发放工作；</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公司一定按照规定将农民工工资足额、直接发放到农民工手中；保证将每月发放的农民工工资表（表格形式、现场负责人和班组长签字认可、农民工本人签字）于次月15日前如实上报给贵单位，否则我司愿意接受贵单位的处理；</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3.如因农民工工资发放、处置不力，导致农民工有不同形式的上访、闹访、集访等事件发生，贵单位将立即停止对我公司劳务工程款的支付，我公司愿意将剩余工程款用作民工工资保证金。</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由此造成的一切不良后果和损失由我公司承担。</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bidi w:val="0"/>
        <w:spacing w:line="400" w:lineRule="exact"/>
        <w:ind w:firstLine="645"/>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单位全称：     （盖  章）</w:t>
      </w:r>
    </w:p>
    <w:p>
      <w:pPr>
        <w:keepNext w:val="0"/>
        <w:keepLines w:val="0"/>
        <w:pageBreakBefore w:val="0"/>
        <w:kinsoku/>
        <w:wordWrap/>
        <w:overflowPunct/>
        <w:topLinePunct w:val="0"/>
        <w:bidi w:val="0"/>
        <w:spacing w:line="400" w:lineRule="exact"/>
        <w:ind w:firstLine="645"/>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法定代表人或委托人：（签 字）</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bidi w:val="0"/>
        <w:spacing w:line="400" w:lineRule="exact"/>
        <w:ind w:firstLine="6720" w:firstLineChars="28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bidi w:val="0"/>
        <w:spacing w:line="400" w:lineRule="exact"/>
        <w:ind w:firstLine="6720" w:firstLineChars="2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keepNext w:val="0"/>
        <w:keepLines w:val="0"/>
        <w:kinsoku/>
        <w:wordWrap/>
        <w:overflowPunct/>
        <w:topLinePunct w:val="0"/>
        <w:bidi w:val="0"/>
        <w:spacing w:line="40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r>
        <w:rPr>
          <w:rFonts w:hint="eastAsia" w:ascii="宋体" w:hAnsi="宋体" w:eastAsia="宋体" w:cs="宋体"/>
          <w:b/>
          <w:color w:val="auto"/>
          <w:sz w:val="24"/>
          <w:szCs w:val="24"/>
          <w:highlight w:val="none"/>
          <w:lang w:val="en-US" w:eastAsia="zh-CN"/>
        </w:rPr>
        <w:t>附件</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lang w:val="en-US" w:eastAsia="zh-CN"/>
        </w:rPr>
        <w:t>：施工安全责任承诺书</w:t>
      </w:r>
    </w:p>
    <w:p>
      <w:pPr>
        <w:keepNext w:val="0"/>
        <w:keepLines w:val="0"/>
        <w:kinsoku/>
        <w:wordWrap/>
        <w:overflowPunct/>
        <w:topLinePunct w:val="0"/>
        <w:bidi w:val="0"/>
        <w:spacing w:line="400" w:lineRule="exact"/>
        <w:textAlignment w:val="auto"/>
        <w:rPr>
          <w:rFonts w:hint="eastAsia" w:ascii="宋体" w:hAnsi="宋体" w:eastAsia="宋体" w:cs="宋体"/>
          <w:color w:val="auto"/>
          <w:kern w:val="0"/>
          <w:sz w:val="30"/>
          <w:szCs w:val="30"/>
          <w:highlight w:val="none"/>
        </w:rPr>
      </w:pPr>
    </w:p>
    <w:p>
      <w:pPr>
        <w:keepNext w:val="0"/>
        <w:keepLines w:val="0"/>
        <w:kinsoku/>
        <w:wordWrap/>
        <w:overflowPunct/>
        <w:topLinePunct w:val="0"/>
        <w:bidi w:val="0"/>
        <w:spacing w:line="400" w:lineRule="exact"/>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 xml:space="preserve"> </w:t>
      </w:r>
      <w:r>
        <w:rPr>
          <w:rFonts w:hint="eastAsia" w:ascii="宋体" w:hAnsi="宋体" w:eastAsia="宋体" w:cs="宋体"/>
          <w:color w:val="auto"/>
          <w:kern w:val="0"/>
          <w:sz w:val="30"/>
          <w:szCs w:val="30"/>
          <w:highlight w:val="none"/>
          <w:lang w:val="en-US" w:eastAsia="zh-CN"/>
        </w:rPr>
        <w:t xml:space="preserve">                        </w:t>
      </w:r>
      <w:r>
        <w:rPr>
          <w:rFonts w:hint="eastAsia" w:ascii="宋体" w:hAnsi="宋体" w:eastAsia="宋体" w:cs="宋体"/>
          <w:b/>
          <w:color w:val="auto"/>
          <w:sz w:val="24"/>
          <w:szCs w:val="24"/>
          <w:highlight w:val="none"/>
          <w:lang w:val="en-US" w:eastAsia="zh-CN"/>
        </w:rPr>
        <w:t>施工安全责任承诺书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工程项目名称：</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工程项目地址：</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建设单位（甲方）：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400" w:lineRule="exact"/>
        <w:ind w:firstLine="60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30"/>
          <w:szCs w:val="30"/>
          <w:highlight w:val="none"/>
        </w:rPr>
        <w:t xml:space="preserve"> </w:t>
      </w:r>
      <w:r>
        <w:rPr>
          <w:rFonts w:hint="eastAsia" w:ascii="宋体" w:hAnsi="宋体" w:eastAsia="宋体" w:cs="宋体"/>
          <w:color w:val="auto"/>
          <w:sz w:val="24"/>
          <w:szCs w:val="24"/>
          <w:highlight w:val="none"/>
          <w:lang w:eastAsia="zh-CN"/>
        </w:rPr>
        <w:t>我司</w:t>
      </w:r>
      <w:r>
        <w:rPr>
          <w:rFonts w:hint="eastAsia" w:ascii="宋体" w:hAnsi="宋体" w:eastAsia="宋体" w:cs="宋体"/>
          <w:color w:val="auto"/>
          <w:sz w:val="24"/>
          <w:szCs w:val="24"/>
          <w:highlight w:val="none"/>
          <w:lang w:val="zh-CN"/>
        </w:rPr>
        <w:t>承包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，并知晓此工程</w:t>
      </w:r>
      <w:r>
        <w:rPr>
          <w:rFonts w:hint="eastAsia" w:ascii="宋体" w:hAnsi="宋体" w:eastAsia="宋体" w:cs="宋体"/>
          <w:color w:val="auto"/>
          <w:sz w:val="24"/>
          <w:szCs w:val="24"/>
          <w:highlight w:val="none"/>
          <w:lang w:val="zh-CN" w:eastAsia="zh-CN"/>
        </w:rPr>
        <w:t>内容</w:t>
      </w:r>
      <w:r>
        <w:rPr>
          <w:rFonts w:hint="eastAsia" w:ascii="宋体" w:hAnsi="宋体" w:eastAsia="宋体" w:cs="宋体"/>
          <w:color w:val="auto"/>
          <w:sz w:val="24"/>
          <w:szCs w:val="24"/>
          <w:highlight w:val="none"/>
          <w:lang w:val="zh-CN"/>
        </w:rPr>
        <w:t>，故会严格贯彻执行国家颁布的《中华人民共和国安全生产法》、《中华人民共和国消防法》、《中华人民共和国</w:t>
      </w: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HYPERLINK "https://www.66law.cn/zhuanti/hjbhy/" \o "环境保护" \t "https://www.66law.cn/contractmodel/_blank"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zh-CN"/>
        </w:rPr>
        <w:t>环境保护</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法》、《中华人民共和国</w:t>
      </w: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HYPERLINK "https://www.66law.cn/special/zybfz/" \o "职业病" \t "https://www.66law.cn/contractmodel/_blank"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zh-CN"/>
        </w:rPr>
        <w:t>职业病</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防治法》、《</w:t>
      </w: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HYPERLINK "https://www.66law.cn/tiaoli/2.aspx" \o "劳动法" \t "https://www.66law.cn/contractmodel/_blank"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zh-CN"/>
        </w:rPr>
        <w:t>劳动法</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》等各项劳动保护、安全生产的</w:t>
      </w: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HYPERLINK "https://www.66law.cn/tiaoli/" \o "法律法规" \t "https://www.66law.cn/contractmodel/_blank"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zh-CN"/>
        </w:rPr>
        <w:t>法律法规</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。对</w:t>
      </w:r>
      <w:r>
        <w:rPr>
          <w:rFonts w:hint="eastAsia" w:ascii="宋体" w:hAnsi="宋体" w:eastAsia="宋体" w:cs="宋体"/>
          <w:color w:val="auto"/>
          <w:sz w:val="24"/>
          <w:szCs w:val="24"/>
          <w:highlight w:val="none"/>
          <w:lang w:val="zh-CN" w:eastAsia="zh-CN"/>
        </w:rPr>
        <w:t>本</w:t>
      </w:r>
      <w:r>
        <w:rPr>
          <w:rFonts w:hint="eastAsia" w:ascii="宋体" w:hAnsi="宋体" w:eastAsia="宋体" w:cs="宋体"/>
          <w:color w:val="auto"/>
          <w:sz w:val="24"/>
          <w:szCs w:val="24"/>
          <w:highlight w:val="none"/>
          <w:lang w:val="zh-CN"/>
        </w:rPr>
        <w:t>工程施工过程中发生的</w:t>
      </w: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HYPERLINK "https://www.66law.cn/renshensunhai/" \o "人身伤害" \t "https://www.66law.cn/contractmodel/_blank"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zh-CN"/>
        </w:rPr>
        <w:t>人身伤害</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、设备损坏事故承担安全责任。</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若违反以上相关</w:t>
      </w:r>
      <w:r>
        <w:rPr>
          <w:rFonts w:hint="eastAsia" w:ascii="宋体" w:hAnsi="宋体" w:eastAsia="宋体" w:cs="宋体"/>
          <w:color w:val="auto"/>
          <w:sz w:val="24"/>
          <w:szCs w:val="24"/>
          <w:highlight w:val="none"/>
          <w:lang w:val="zh-CN" w:eastAsia="zh-CN"/>
        </w:rPr>
        <w:t>法律</w:t>
      </w:r>
      <w:r>
        <w:rPr>
          <w:rFonts w:hint="eastAsia" w:ascii="宋体" w:hAnsi="宋体" w:eastAsia="宋体" w:cs="宋体"/>
          <w:color w:val="auto"/>
          <w:sz w:val="24"/>
          <w:szCs w:val="24"/>
          <w:highlight w:val="none"/>
          <w:lang w:val="zh-CN"/>
        </w:rPr>
        <w:t xml:space="preserve">法规造成的安全事故和人身伤害均与荣昌区人民医院无关，由成交供应商负全责，如在施工过程中因操作不当给荣昌区人民医院造成财产损失的,应当无条件赔偿。 </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承诺时限：</w:t>
      </w:r>
      <w:r>
        <w:rPr>
          <w:rFonts w:hint="eastAsia" w:ascii="宋体" w:hAnsi="宋体" w:eastAsia="宋体" w:cs="宋体"/>
          <w:color w:val="auto"/>
          <w:sz w:val="24"/>
          <w:szCs w:val="24"/>
          <w:highlight w:val="none"/>
          <w:lang w:val="en-US" w:eastAsia="zh-CN"/>
        </w:rPr>
        <w:t xml:space="preserve"> 本</w:t>
      </w:r>
      <w:r>
        <w:rPr>
          <w:rFonts w:hint="eastAsia" w:ascii="宋体" w:hAnsi="宋体" w:eastAsia="宋体" w:cs="宋体"/>
          <w:color w:val="auto"/>
          <w:sz w:val="24"/>
          <w:szCs w:val="24"/>
          <w:highlight w:val="none"/>
          <w:lang w:val="zh-CN"/>
        </w:rPr>
        <w:t>承诺书</w:t>
      </w:r>
      <w:r>
        <w:rPr>
          <w:rFonts w:hint="eastAsia" w:ascii="宋体" w:hAnsi="宋体" w:eastAsia="宋体" w:cs="宋体"/>
          <w:color w:val="auto"/>
          <w:sz w:val="24"/>
          <w:szCs w:val="24"/>
          <w:highlight w:val="none"/>
          <w:lang w:val="zh-CN" w:eastAsia="zh-CN"/>
        </w:rPr>
        <w:t>签订之日起至本项目完结。</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承包单位</w:t>
      </w:r>
      <w:r>
        <w:rPr>
          <w:rFonts w:hint="eastAsia" w:ascii="宋体" w:hAnsi="宋体" w:eastAsia="宋体" w:cs="宋体"/>
          <w:color w:val="auto"/>
          <w:sz w:val="24"/>
          <w:szCs w:val="24"/>
          <w:highlight w:val="none"/>
          <w:lang w:val="zh-CN"/>
        </w:rPr>
        <w:t>签字</w:t>
      </w:r>
      <w:r>
        <w:rPr>
          <w:rFonts w:hint="eastAsia" w:ascii="宋体" w:hAnsi="宋体" w:eastAsia="宋体" w:cs="宋体"/>
          <w:color w:val="auto"/>
          <w:sz w:val="24"/>
          <w:szCs w:val="24"/>
          <w:highlight w:val="none"/>
          <w:lang w:val="zh-CN" w:eastAsia="zh-CN"/>
        </w:rPr>
        <w:t>（盖章）</w:t>
      </w:r>
      <w:r>
        <w:rPr>
          <w:rFonts w:hint="eastAsia" w:ascii="宋体" w:hAnsi="宋体" w:eastAsia="宋体" w:cs="宋体"/>
          <w:color w:val="auto"/>
          <w:sz w:val="24"/>
          <w:szCs w:val="24"/>
          <w:highlight w:val="none"/>
          <w:lang w:val="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联系方式：</w:t>
      </w:r>
    </w:p>
    <w:p>
      <w:pPr>
        <w:pStyle w:val="2"/>
        <w:keepNext w:val="0"/>
        <w:keepLines w:val="0"/>
        <w:kinsoku/>
        <w:wordWrap/>
        <w:overflowPunct/>
        <w:topLinePunct w:val="0"/>
        <w:bidi w:val="0"/>
        <w:spacing w:line="400" w:lineRule="exact"/>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签订日期：</w:t>
      </w:r>
    </w:p>
    <w:p>
      <w:pPr>
        <w:spacing w:line="480" w:lineRule="auto"/>
        <w:rPr>
          <w:rFonts w:ascii="宋体" w:hAnsi="宋体"/>
          <w:color w:val="auto"/>
          <w:szCs w:val="21"/>
          <w:highlight w:val="none"/>
        </w:rPr>
      </w:pPr>
    </w:p>
    <w:p>
      <w:pPr>
        <w:widowControl/>
        <w:spacing w:line="360" w:lineRule="auto"/>
        <w:jc w:val="both"/>
        <w:rPr>
          <w:rFonts w:hint="eastAsia" w:ascii="宋体" w:hAnsi="宋体" w:eastAsia="宋体" w:cs="宋体"/>
          <w:b/>
          <w:color w:val="auto"/>
          <w:sz w:val="24"/>
          <w:szCs w:val="24"/>
          <w:highlight w:val="none"/>
          <w:lang w:val="zh-CN" w:eastAsia="zh-CN"/>
        </w:rPr>
      </w:pPr>
      <w:r>
        <w:rPr>
          <w:rFonts w:hint="eastAsia" w:ascii="宋体" w:hAnsi="宋体"/>
          <w:color w:val="auto"/>
          <w:szCs w:val="21"/>
          <w:highlight w:val="none"/>
        </w:rPr>
        <w:br w:type="page"/>
      </w:r>
      <w:r>
        <w:rPr>
          <w:rFonts w:hint="eastAsia" w:ascii="宋体" w:hAnsi="宋体" w:eastAsia="宋体" w:cs="宋体"/>
          <w:b/>
          <w:color w:val="auto"/>
          <w:sz w:val="24"/>
          <w:szCs w:val="24"/>
          <w:highlight w:val="none"/>
          <w:lang w:val="zh-CN" w:eastAsia="zh-CN"/>
        </w:rPr>
        <w:t>附件</w:t>
      </w:r>
      <w:r>
        <w:rPr>
          <w:rFonts w:hint="eastAsia" w:ascii="宋体" w:hAnsi="宋体" w:cs="宋体"/>
          <w:b/>
          <w:color w:val="auto"/>
          <w:sz w:val="24"/>
          <w:szCs w:val="24"/>
          <w:highlight w:val="none"/>
          <w:lang w:val="zh-CN" w:eastAsia="zh-CN"/>
        </w:rPr>
        <w:t>五</w:t>
      </w:r>
      <w:r>
        <w:rPr>
          <w:rFonts w:hint="eastAsia" w:ascii="宋体" w:hAnsi="宋体" w:eastAsia="宋体" w:cs="宋体"/>
          <w:b/>
          <w:color w:val="auto"/>
          <w:sz w:val="24"/>
          <w:szCs w:val="24"/>
          <w:highlight w:val="none"/>
          <w:lang w:val="zh-CN" w:eastAsia="zh-CN"/>
        </w:rPr>
        <w:t>：低价风险担保保函示范文本（独立保函）</w:t>
      </w:r>
    </w:p>
    <w:p>
      <w:pPr>
        <w:widowControl/>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低价风险担保保函示范文本</w:t>
      </w:r>
    </w:p>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（独立保函）</w:t>
      </w:r>
    </w:p>
    <w:p>
      <w:pPr>
        <w:wordWrap w:val="0"/>
        <w:spacing w:line="360"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编号：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开立人：</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（受益人名称）： </w:t>
      </w:r>
    </w:p>
    <w:p>
      <w:pPr>
        <w:pStyle w:val="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（以下简称“申请人”）于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（以下简称“受益人”）的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，收到受益人于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日签发的中标通知书，成为该项目的</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。基于申请人的请求，我方同意就申请人履行该项目</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文件约定的义务，向贵方提供不可撤销、不可转让的见索即付独立保函（以下简称“本保函”）。</w:t>
      </w:r>
    </w:p>
    <w:p>
      <w:pPr>
        <w:pStyle w:val="2"/>
        <w:numPr>
          <w:ilvl w:val="0"/>
          <w:numId w:val="9"/>
        </w:num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本保函担保范围：申请人未按照</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文件约定签订合同或未按签订的合同约定履行相关义务，应当向贵方承担的违约责任和赔偿因此造成的损失、利息、律师费、诉讼费用等实现债权的费用。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二、本保函担保金额最高不超过人民币（大写）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三、本保函有效期自开立之日起至合同约定的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日止，最迟不超过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四、我方承诺，在收到受益人发来的书面付款通知后的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工作日内无条件支付，前述书面付款通知即为付款要求之单据，且应满足以下要求：</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（1）付款通知到达的日期在本保函的有效期内；</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（2）载明要求支付的金额；</w:t>
      </w:r>
    </w:p>
    <w:p>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（3）载明申请人未按照</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文件约定签订合同或违反合同义务的条款和内容；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（4）付款通知中应声明不存在</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文件约定、合同文件约定或我国法律规定免除申请人或开立人支付责任的情形；</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（5）付款通知应在本保函有效期内到达的地址是：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受益人发出的书面付款通知应由其为鉴明受益人法定代表人（负责人）或授权代理人签名加盖公章。</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五、本保函项下的权利不得转让，不得设定担保。贵方未经我方书面同意转让本保函或其项下任何权利，对我方不发生法律效力。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六、与本保函有关的合同不成立、不生效、无效、被撤销、被解除，不影响本保函的独立有效。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八、本保函适用的法律为中华人民共和国法律，争议裁判管辖地为中华人民共和国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九、本保函自我方法定代表人或授权代表签名并加盖公章之日起生效。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 立 人：                              （公章）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              （签名）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pPr>
        <w:pStyle w:val="2"/>
        <w:keepNext w:val="0"/>
        <w:keepLines w:val="0"/>
        <w:kinsoku/>
        <w:wordWrap/>
        <w:overflowPunct/>
        <w:topLinePunct w:val="0"/>
        <w:bidi w:val="0"/>
        <w:spacing w:line="400" w:lineRule="exact"/>
        <w:ind w:firstLine="480" w:firstLineChars="200"/>
        <w:textAlignment w:val="auto"/>
        <w:rPr>
          <w:rFonts w:hint="default" w:ascii="宋体" w:hAnsi="宋体" w:eastAsia="宋体" w:cs="宋体"/>
          <w:color w:val="auto"/>
          <w:sz w:val="21"/>
          <w:szCs w:val="21"/>
          <w:highlight w:val="none"/>
          <w:lang w:val="en-US"/>
        </w:rPr>
        <w:sectPr>
          <w:pgSz w:w="11907" w:h="16840"/>
          <w:pgMar w:top="1134" w:right="1191" w:bottom="1134" w:left="1304" w:header="850" w:footer="992" w:gutter="0"/>
          <w:pgNumType w:fmt="decimal"/>
          <w:cols w:space="720" w:num="1"/>
          <w:rtlGutter w:val="0"/>
          <w:docGrid w:linePitch="312" w:charSpace="0"/>
        </w:sectPr>
      </w:pPr>
      <w:r>
        <w:rPr>
          <w:rFonts w:hint="eastAsia" w:ascii="宋体" w:hAnsi="宋体" w:eastAsia="宋体" w:cs="宋体"/>
          <w:color w:val="auto"/>
          <w:sz w:val="24"/>
          <w:szCs w:val="24"/>
          <w:highlight w:val="none"/>
        </w:rPr>
        <w:t>开立时间：      年      月</w:t>
      </w:r>
      <w:r>
        <w:rPr>
          <w:rFonts w:hint="eastAsia" w:ascii="宋体" w:hAnsi="宋体" w:eastAsia="宋体" w:cs="宋体"/>
          <w:color w:val="auto"/>
          <w:sz w:val="24"/>
          <w:szCs w:val="24"/>
          <w:highlight w:val="none"/>
          <w:u w:val="none"/>
          <w:lang w:val="en-US" w:eastAsia="zh-CN"/>
        </w:rPr>
        <w:t xml:space="preserve">       日</w:t>
      </w:r>
    </w:p>
    <w:p>
      <w:pPr>
        <w:pStyle w:val="33"/>
        <w:jc w:val="center"/>
        <w:rPr>
          <w:rFonts w:hint="eastAsia" w:ascii="宋体" w:hAnsi="宋体" w:eastAsia="宋体" w:cs="宋体"/>
          <w:color w:val="auto"/>
          <w:sz w:val="44"/>
          <w:szCs w:val="44"/>
          <w:highlight w:val="none"/>
        </w:rPr>
      </w:pPr>
      <w:bookmarkStart w:id="26" w:name="_Toc10725995"/>
      <w:bookmarkStart w:id="27" w:name="_Toc482110468"/>
      <w:r>
        <w:rPr>
          <w:rFonts w:hint="eastAsia" w:ascii="宋体" w:hAnsi="宋体" w:eastAsia="宋体" w:cs="宋体"/>
          <w:color w:val="auto"/>
          <w:sz w:val="44"/>
          <w:szCs w:val="44"/>
          <w:highlight w:val="none"/>
        </w:rPr>
        <w:t>第五部分 投标文件格式</w:t>
      </w:r>
      <w:bookmarkEnd w:id="26"/>
      <w:bookmarkEnd w:id="27"/>
    </w:p>
    <w:p>
      <w:pPr>
        <w:rPr>
          <w:rFonts w:hint="eastAsia" w:ascii="宋体" w:hAnsi="宋体" w:eastAsia="宋体" w:cs="宋体"/>
          <w:color w:val="auto"/>
          <w:szCs w:val="21"/>
          <w:highlight w:val="none"/>
        </w:rPr>
      </w:pPr>
    </w:p>
    <w:p>
      <w:pPr>
        <w:spacing w:line="440" w:lineRule="exact"/>
        <w:jc w:val="center"/>
        <w:rPr>
          <w:rFonts w:hint="eastAsia" w:ascii="宋体" w:hAnsi="宋体" w:eastAsia="宋体" w:cs="宋体"/>
          <w:color w:val="auto"/>
          <w:szCs w:val="21"/>
          <w:highlight w:val="none"/>
        </w:rPr>
      </w:pPr>
    </w:p>
    <w:p>
      <w:pPr>
        <w:spacing w:line="440" w:lineRule="exact"/>
        <w:jc w:val="center"/>
        <w:outlineLvl w:val="1"/>
        <w:rPr>
          <w:rFonts w:hint="eastAsia" w:ascii="宋体" w:hAnsi="宋体" w:eastAsia="宋体" w:cs="宋体"/>
          <w:b/>
          <w:color w:val="auto"/>
          <w:kern w:val="0"/>
          <w:sz w:val="32"/>
          <w:szCs w:val="32"/>
          <w:highlight w:val="none"/>
        </w:rPr>
      </w:pPr>
      <w:bookmarkStart w:id="28" w:name="_Toc328381297"/>
      <w:bookmarkStart w:id="29" w:name="_Toc350327368"/>
      <w:bookmarkStart w:id="30" w:name="_Toc303256686"/>
      <w:bookmarkStart w:id="31" w:name="_Toc339872473"/>
      <w:bookmarkStart w:id="32" w:name="_Toc349721557"/>
      <w:r>
        <w:rPr>
          <w:rFonts w:hint="eastAsia" w:ascii="宋体" w:hAnsi="宋体" w:eastAsia="宋体" w:cs="宋体"/>
          <w:b/>
          <w:color w:val="auto"/>
          <w:kern w:val="0"/>
          <w:sz w:val="32"/>
          <w:szCs w:val="32"/>
          <w:highlight w:val="none"/>
        </w:rPr>
        <w:t>一、开标一览表</w:t>
      </w:r>
      <w:bookmarkEnd w:id="28"/>
      <w:bookmarkEnd w:id="29"/>
      <w:bookmarkEnd w:id="30"/>
      <w:bookmarkEnd w:id="31"/>
      <w:bookmarkEnd w:id="32"/>
    </w:p>
    <w:p>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重庆市荣昌区人民医院：</w:t>
      </w:r>
    </w:p>
    <w:p>
      <w:pPr>
        <w:shd w:val="clear" w:color="auto" w:fill="FFFFFF"/>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w:t>
      </w:r>
      <w:r>
        <w:rPr>
          <w:rFonts w:hint="eastAsia" w:ascii="宋体" w:hAnsi="宋体" w:cs="宋体"/>
          <w:color w:val="auto"/>
          <w:kern w:val="0"/>
          <w:sz w:val="24"/>
          <w:highlight w:val="none"/>
          <w:lang w:val="zh-CN"/>
        </w:rPr>
        <w:t>竞争性比选文件</w:t>
      </w:r>
      <w:r>
        <w:rPr>
          <w:rFonts w:hint="eastAsia" w:ascii="宋体" w:hAnsi="宋体" w:eastAsia="宋体" w:cs="宋体"/>
          <w:color w:val="auto"/>
          <w:kern w:val="0"/>
          <w:sz w:val="24"/>
          <w:highlight w:val="none"/>
          <w:lang w:val="zh-CN"/>
        </w:rPr>
        <w:t>要求，我们，本投标文件签字方，谨此向你方发出要约如下：如你方接受本投标文件，我方承诺按照如下开标一览表的价格完成编号为</w:t>
      </w:r>
    </w:p>
    <w:p>
      <w:pPr>
        <w:shd w:val="clear" w:color="auto" w:fill="FFFFFF"/>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的</w:t>
      </w:r>
      <w:r>
        <w:rPr>
          <w:rFonts w:hint="eastAsia" w:ascii="宋体" w:hAnsi="宋体" w:cs="宋体"/>
          <w:color w:val="auto"/>
          <w:kern w:val="0"/>
          <w:sz w:val="24"/>
          <w:highlight w:val="none"/>
          <w:lang w:val="zh-CN"/>
        </w:rPr>
        <w:t>竞争性比选文件</w:t>
      </w:r>
      <w:r>
        <w:rPr>
          <w:rFonts w:hint="eastAsia" w:ascii="宋体" w:hAnsi="宋体" w:eastAsia="宋体" w:cs="宋体"/>
          <w:color w:val="auto"/>
          <w:kern w:val="0"/>
          <w:sz w:val="24"/>
          <w:highlight w:val="none"/>
          <w:lang w:val="zh-CN"/>
        </w:rPr>
        <w:t>[项目名称：重庆市荣昌区人民医院</w:t>
      </w:r>
      <w:r>
        <w:rPr>
          <w:rFonts w:hint="eastAsia" w:ascii="宋体" w:hAnsi="宋体" w:eastAsia="宋体" w:cs="宋体"/>
          <w:color w:val="auto"/>
          <w:kern w:val="0"/>
          <w:sz w:val="24"/>
          <w:highlight w:val="none"/>
          <w:lang w:val="zh-CN" w:eastAsia="zh-CN"/>
        </w:rPr>
        <w:t>内科7楼静脉输液配置中心改造项目</w:t>
      </w:r>
      <w:r>
        <w:rPr>
          <w:rFonts w:hint="eastAsia" w:ascii="宋体" w:hAnsi="宋体" w:eastAsia="宋体" w:cs="宋体"/>
          <w:color w:val="auto"/>
          <w:kern w:val="0"/>
          <w:sz w:val="24"/>
          <w:highlight w:val="none"/>
          <w:lang w:val="zh-CN"/>
        </w:rPr>
        <w:t>]实施。</w:t>
      </w:r>
    </w:p>
    <w:p>
      <w:pPr>
        <w:shd w:val="clear" w:color="auto" w:fill="FFFFFF"/>
        <w:snapToGrid w:val="0"/>
        <w:spacing w:line="360" w:lineRule="auto"/>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开标一览表</w:t>
      </w:r>
    </w:p>
    <w:tbl>
      <w:tblPr>
        <w:tblStyle w:val="37"/>
        <w:tblW w:w="91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366"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w:t>
            </w:r>
          </w:p>
        </w:tc>
        <w:tc>
          <w:tcPr>
            <w:tcW w:w="2366"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重庆市荣昌区人民医院内科7楼静脉输液配置中心改造项目</w:t>
            </w:r>
          </w:p>
        </w:tc>
        <w:tc>
          <w:tcPr>
            <w:tcW w:w="2366"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要求</w:t>
            </w:r>
          </w:p>
        </w:tc>
        <w:tc>
          <w:tcPr>
            <w:tcW w:w="2366"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4732" w:type="dxa"/>
            <w:gridSpan w:val="2"/>
            <w:tcBorders>
              <w:lef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bl>
    <w:p>
      <w:pPr>
        <w:shd w:val="clear" w:color="auto" w:fill="FFFFFF"/>
        <w:snapToGrid w:val="0"/>
        <w:spacing w:line="360"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、本投标文件及其所附文件涵盖了我方要约的全部内容。</w:t>
      </w:r>
    </w:p>
    <w:p>
      <w:pPr>
        <w:shd w:val="clear" w:color="auto" w:fill="FFFFFF"/>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(1)我方要约有效期为自投标截止日起</w:t>
      </w:r>
      <w:r>
        <w:rPr>
          <w:rFonts w:hint="eastAsia" w:ascii="宋体" w:hAnsi="宋体" w:eastAsia="宋体" w:cs="宋体"/>
          <w:color w:val="auto"/>
          <w:kern w:val="0"/>
          <w:sz w:val="24"/>
          <w:highlight w:val="none"/>
          <w:lang w:val="en-US" w:eastAsia="zh-CN"/>
        </w:rPr>
        <w:t>60</w:t>
      </w:r>
      <w:r>
        <w:rPr>
          <w:rFonts w:hint="eastAsia" w:ascii="宋体" w:hAnsi="宋体" w:eastAsia="宋体" w:cs="宋体"/>
          <w:color w:val="auto"/>
          <w:kern w:val="0"/>
          <w:sz w:val="24"/>
          <w:highlight w:val="none"/>
          <w:lang w:val="zh-CN"/>
        </w:rPr>
        <w:t>天；</w:t>
      </w:r>
    </w:p>
    <w:p>
      <w:pPr>
        <w:shd w:val="clear" w:color="auto" w:fill="FFFFFF"/>
        <w:snapToGrid w:val="0"/>
        <w:spacing w:line="360"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eastAsia="宋体" w:cs="宋体"/>
          <w:color w:val="auto"/>
          <w:kern w:val="0"/>
          <w:sz w:val="24"/>
          <w:highlight w:val="none"/>
          <w:lang w:val="zh-CN"/>
        </w:rPr>
      </w:pPr>
    </w:p>
    <w:p>
      <w:pPr>
        <w:shd w:val="clear" w:color="auto" w:fill="FFFFFF"/>
        <w:snapToGrid w:val="0"/>
        <w:spacing w:line="360" w:lineRule="auto"/>
        <w:ind w:firstLine="360" w:firstLineChars="15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法定代表人（签字）：</w:t>
      </w:r>
    </w:p>
    <w:p>
      <w:pPr>
        <w:shd w:val="clear" w:color="auto" w:fill="FFFFFF"/>
        <w:snapToGrid w:val="0"/>
        <w:spacing w:line="360" w:lineRule="auto"/>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投标人名称（公章）:</w:t>
      </w:r>
    </w:p>
    <w:p>
      <w:pPr>
        <w:shd w:val="clear" w:color="auto" w:fill="FFFFFF"/>
        <w:snapToGrid w:val="0"/>
        <w:spacing w:line="360" w:lineRule="auto"/>
        <w:ind w:firstLine="360" w:firstLineChars="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p>
    <w:p>
      <w:pPr>
        <w:wordWrap w:val="0"/>
        <w:autoSpaceDE w:val="0"/>
        <w:autoSpaceDN w:val="0"/>
        <w:adjustRightInd w:val="0"/>
        <w:spacing w:line="440" w:lineRule="exact"/>
        <w:jc w:val="right"/>
        <w:rPr>
          <w:rFonts w:hint="eastAsia" w:ascii="宋体" w:hAnsi="宋体" w:eastAsia="宋体" w:cs="宋体"/>
          <w:color w:val="auto"/>
          <w:kern w:val="0"/>
          <w:sz w:val="24"/>
          <w:highlight w:val="none"/>
          <w:lang w:val="zh-CN"/>
        </w:rPr>
      </w:pPr>
    </w:p>
    <w:p>
      <w:pPr>
        <w:spacing w:line="440" w:lineRule="exact"/>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br w:type="page"/>
      </w:r>
      <w:r>
        <w:rPr>
          <w:rFonts w:hint="eastAsia" w:ascii="宋体" w:hAnsi="宋体" w:eastAsia="宋体" w:cs="宋体"/>
          <w:b/>
          <w:color w:val="auto"/>
          <w:kern w:val="0"/>
          <w:sz w:val="32"/>
          <w:szCs w:val="32"/>
          <w:highlight w:val="none"/>
        </w:rPr>
        <w:t>二、报价表</w:t>
      </w:r>
    </w:p>
    <w:p>
      <w:pPr>
        <w:autoSpaceDE w:val="0"/>
        <w:autoSpaceDN w:val="0"/>
        <w:adjustRightInd w:val="0"/>
        <w:spacing w:line="440" w:lineRule="exact"/>
        <w:jc w:val="center"/>
        <w:rPr>
          <w:rFonts w:hint="eastAsia" w:ascii="宋体" w:hAnsi="宋体" w:eastAsia="宋体" w:cs="宋体"/>
          <w:b/>
          <w:color w:val="auto"/>
          <w:kern w:val="0"/>
          <w:sz w:val="24"/>
          <w:highlight w:val="none"/>
        </w:rPr>
      </w:pPr>
    </w:p>
    <w:p>
      <w:pPr>
        <w:autoSpaceDE w:val="0"/>
        <w:autoSpaceDN w:val="0"/>
        <w:adjustRightInd w:val="0"/>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项目编号：   </w:t>
      </w:r>
    </w:p>
    <w:tbl>
      <w:tblPr>
        <w:tblStyle w:val="37"/>
        <w:tblW w:w="8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2"/>
        <w:gridCol w:w="945"/>
        <w:gridCol w:w="2957"/>
        <w:gridCol w:w="1150"/>
        <w:gridCol w:w="1350"/>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hint="eastAsia" w:ascii="宋体" w:hAnsi="宋体" w:eastAsia="宋体" w:cs="宋体"/>
                <w:b/>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hint="eastAsia" w:ascii="宋体" w:hAnsi="宋体" w:eastAsia="宋体" w:cs="宋体"/>
                <w:b/>
                <w:color w:val="auto"/>
                <w:sz w:val="18"/>
                <w:szCs w:val="18"/>
                <w:highlight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hint="eastAsia" w:ascii="宋体" w:hAnsi="宋体" w:eastAsia="宋体" w:cs="宋体"/>
                <w:b/>
                <w:color w:val="auto"/>
                <w:sz w:val="18"/>
                <w:szCs w:val="18"/>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hint="eastAsia" w:ascii="宋体" w:hAnsi="宋体" w:eastAsia="宋体" w:cs="宋体"/>
                <w:b/>
                <w:color w:val="auto"/>
                <w:sz w:val="18"/>
                <w:szCs w:val="18"/>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hint="eastAsia" w:ascii="宋体" w:hAnsi="宋体" w:eastAsia="宋体" w:cs="宋体"/>
                <w:color w:val="auto"/>
                <w:highlight w:val="none"/>
              </w:rPr>
            </w:pPr>
          </w:p>
        </w:tc>
        <w:tc>
          <w:tcPr>
            <w:tcW w:w="1304"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hint="eastAsia" w:ascii="宋体" w:hAnsi="宋体" w:eastAsia="宋体" w:cs="宋体"/>
                <w:b/>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napToGrid w:val="0"/>
              <w:spacing w:line="360" w:lineRule="auto"/>
              <w:jc w:val="center"/>
              <w:rPr>
                <w:rFonts w:hint="eastAsia" w:ascii="宋体" w:hAnsi="宋体" w:eastAsia="宋体" w:cs="宋体"/>
                <w:color w:val="auto"/>
                <w:szCs w:val="21"/>
                <w:highlight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auto"/>
                <w:sz w:val="18"/>
                <w:szCs w:val="18"/>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auto"/>
                <w:sz w:val="18"/>
                <w:szCs w:val="18"/>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auto"/>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napToGrid w:val="0"/>
              <w:spacing w:line="360" w:lineRule="auto"/>
              <w:jc w:val="center"/>
              <w:rPr>
                <w:rFonts w:hint="eastAsia" w:ascii="宋体" w:hAnsi="宋体" w:eastAsia="宋体" w:cs="宋体"/>
                <w:color w:val="auto"/>
                <w:kern w:val="0"/>
                <w:sz w:val="22"/>
                <w:szCs w:val="22"/>
                <w:highlight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2"/>
                <w:szCs w:val="22"/>
                <w:highlight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widowControl/>
              <w:jc w:val="center"/>
              <w:textAlignment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2"/>
                <w:szCs w:val="22"/>
                <w:highlight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widowControl/>
              <w:jc w:val="center"/>
              <w:textAlignment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widowControl/>
              <w:jc w:val="center"/>
              <w:textAlignment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highlight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olor w:val="auto"/>
                <w:kern w:val="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widowControl/>
              <w:jc w:val="left"/>
              <w:textAlignment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highlight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kern w:val="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widowControl/>
              <w:jc w:val="left"/>
              <w:textAlignment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highlight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kern w:val="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widowControl/>
              <w:jc w:val="left"/>
              <w:textAlignment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highlight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kern w:val="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widowControl/>
              <w:jc w:val="left"/>
              <w:textAlignment w:val="center"/>
              <w:rPr>
                <w:rFonts w:hint="eastAsia" w:ascii="宋体" w:hAnsi="宋体" w:eastAsia="宋体" w:cs="宋体"/>
                <w:color w:val="auto"/>
                <w:kern w:val="0"/>
                <w:sz w:val="18"/>
                <w:szCs w:val="18"/>
                <w:highlight w:val="none"/>
              </w:rPr>
            </w:pPr>
          </w:p>
        </w:tc>
      </w:tr>
    </w:tbl>
    <w:p>
      <w:pPr>
        <w:autoSpaceDE w:val="0"/>
        <w:autoSpaceDN w:val="0"/>
        <w:adjustRightInd w:val="0"/>
        <w:spacing w:line="440" w:lineRule="exact"/>
        <w:rPr>
          <w:rFonts w:hint="eastAsia" w:ascii="宋体" w:hAnsi="宋体" w:eastAsia="宋体" w:cs="宋体"/>
          <w:color w:val="auto"/>
          <w:kern w:val="0"/>
          <w:sz w:val="24"/>
          <w:highlight w:val="none"/>
        </w:rPr>
      </w:pPr>
    </w:p>
    <w:p>
      <w:pPr>
        <w:autoSpaceDE w:val="0"/>
        <w:autoSpaceDN w:val="0"/>
        <w:adjustRightIn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p>
      <w:pPr>
        <w:autoSpaceDE w:val="0"/>
        <w:autoSpaceDN w:val="0"/>
        <w:adjustRightIn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1、注：针对本项目的需求清单一一对应填写一份“报价明细清单”。此表在不改变格式内容时，可自行制作。</w:t>
      </w:r>
    </w:p>
    <w:p>
      <w:pPr>
        <w:autoSpaceDE w:val="0"/>
        <w:autoSpaceDN w:val="0"/>
        <w:adjustRightIn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2、报价明细清单中合计总价应与开标一览表中的相应报价相一致，不一致时，以开标一览表报价为准。</w:t>
      </w:r>
    </w:p>
    <w:p>
      <w:pPr>
        <w:autoSpaceDE w:val="0"/>
        <w:autoSpaceDN w:val="0"/>
        <w:adjustRightIn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3、“报价明细清单”为多页的，每页均需由投标人代表签字并加盖投标人公章。</w:t>
      </w:r>
    </w:p>
    <w:p>
      <w:pPr>
        <w:autoSpaceDE w:val="0"/>
        <w:autoSpaceDN w:val="0"/>
        <w:adjustRightIn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4、漏报的视同已包含在投标总价内。有重大缺项的将作无效标处理。</w:t>
      </w:r>
    </w:p>
    <w:p>
      <w:pPr>
        <w:autoSpaceDE w:val="0"/>
        <w:autoSpaceDN w:val="0"/>
        <w:adjustRightInd w:val="0"/>
        <w:spacing w:line="440" w:lineRule="exact"/>
        <w:rPr>
          <w:rFonts w:hint="eastAsia" w:ascii="宋体" w:hAnsi="宋体" w:eastAsia="宋体" w:cs="宋体"/>
          <w:color w:val="auto"/>
          <w:kern w:val="0"/>
          <w:sz w:val="24"/>
          <w:highlight w:val="none"/>
        </w:rPr>
      </w:pPr>
    </w:p>
    <w:p>
      <w:pPr>
        <w:autoSpaceDE w:val="0"/>
        <w:autoSpaceDN w:val="0"/>
        <w:adjustRightInd w:val="0"/>
        <w:spacing w:line="440" w:lineRule="exact"/>
        <w:rPr>
          <w:rFonts w:hint="eastAsia" w:ascii="宋体" w:hAnsi="宋体" w:eastAsia="宋体" w:cs="宋体"/>
          <w:color w:val="auto"/>
          <w:kern w:val="0"/>
          <w:sz w:val="24"/>
          <w:highlight w:val="none"/>
        </w:rPr>
      </w:pPr>
    </w:p>
    <w:p>
      <w:pPr>
        <w:wordWrap w:val="0"/>
        <w:autoSpaceDE w:val="0"/>
        <w:autoSpaceDN w:val="0"/>
        <w:adjustRightIn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法定代表人或授权代表（签字）：     </w:t>
      </w:r>
    </w:p>
    <w:p>
      <w:pPr>
        <w:spacing w:line="440" w:lineRule="exact"/>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日期：20  年</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日    </w:t>
      </w:r>
    </w:p>
    <w:p>
      <w:pPr>
        <w:snapToGrid w:val="0"/>
        <w:spacing w:before="50" w:after="50"/>
        <w:rPr>
          <w:rFonts w:hint="eastAsia" w:ascii="宋体" w:hAnsi="宋体" w:eastAsia="宋体" w:cs="宋体"/>
          <w:color w:val="auto"/>
          <w:sz w:val="24"/>
          <w:highlight w:val="none"/>
        </w:rPr>
      </w:pPr>
    </w:p>
    <w:p>
      <w:pPr>
        <w:snapToGrid w:val="0"/>
        <w:spacing w:before="50" w:after="50"/>
        <w:rPr>
          <w:rFonts w:hint="eastAsia" w:ascii="宋体" w:hAnsi="宋体" w:eastAsia="宋体" w:cs="宋体"/>
          <w:color w:val="auto"/>
          <w:sz w:val="24"/>
          <w:highlight w:val="none"/>
        </w:rPr>
      </w:pPr>
    </w:p>
    <w:p>
      <w:pPr>
        <w:spacing w:line="440" w:lineRule="exact"/>
        <w:rPr>
          <w:rFonts w:hint="eastAsia" w:ascii="宋体" w:hAnsi="宋体" w:eastAsia="宋体" w:cs="宋体"/>
          <w:color w:val="auto"/>
          <w:kern w:val="0"/>
          <w:sz w:val="24"/>
          <w:highlight w:val="none"/>
          <w:lang w:val="zh-CN"/>
        </w:rPr>
      </w:pPr>
      <w:bookmarkStart w:id="33" w:name="_Toc297472830"/>
      <w:bookmarkStart w:id="34" w:name="_Toc297472063"/>
    </w:p>
    <w:p>
      <w:pPr>
        <w:spacing w:line="440" w:lineRule="exact"/>
        <w:rPr>
          <w:rFonts w:hint="eastAsia" w:ascii="宋体" w:hAnsi="宋体" w:eastAsia="宋体" w:cs="宋体"/>
          <w:color w:val="auto"/>
          <w:kern w:val="0"/>
          <w:sz w:val="24"/>
          <w:highlight w:val="none"/>
          <w:lang w:val="zh-CN"/>
        </w:rPr>
      </w:pPr>
    </w:p>
    <w:p>
      <w:pPr>
        <w:spacing w:line="440" w:lineRule="exact"/>
        <w:jc w:val="center"/>
        <w:outlineLvl w:val="1"/>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、采购需求实质性内容响应表</w:t>
      </w:r>
    </w:p>
    <w:p>
      <w:pPr>
        <w:autoSpaceDE w:val="0"/>
        <w:autoSpaceDN w:val="0"/>
        <w:adjustRightInd w:val="0"/>
        <w:spacing w:line="360" w:lineRule="auto"/>
        <w:ind w:firstLine="361" w:firstLineChars="15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项目编号： </w:t>
      </w:r>
    </w:p>
    <w:tbl>
      <w:tblPr>
        <w:tblStyle w:val="37"/>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实质性条款</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竞争性比选文件</w:t>
            </w:r>
            <w:r>
              <w:rPr>
                <w:rFonts w:hint="eastAsia" w:ascii="宋体" w:hAnsi="宋体" w:eastAsia="宋体" w:cs="宋体"/>
                <w:b/>
                <w:color w:val="auto"/>
                <w:sz w:val="24"/>
                <w:highlight w:val="none"/>
              </w:rPr>
              <w:t>要求</w:t>
            </w: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投标承诺或说明</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r>
    </w:tbl>
    <w:p>
      <w:pPr>
        <w:adjustRightInd w:val="0"/>
        <w:snapToGrid w:val="0"/>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填表说明：</w:t>
      </w:r>
    </w:p>
    <w:p>
      <w:pPr>
        <w:adjustRightInd w:val="0"/>
        <w:snapToGrid w:val="0"/>
        <w:spacing w:line="5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“实质性条款”详见“第三部分 采购需求”中带“</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lang w:val="zh-CN"/>
        </w:rPr>
        <w:t>”条款，本表中所列条款仅供参考；</w:t>
      </w:r>
    </w:p>
    <w:p>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rPr>
        <w:t>投标人应根据投标承诺或说明、对照</w:t>
      </w:r>
      <w:r>
        <w:rPr>
          <w:rFonts w:hint="eastAsia" w:ascii="宋体" w:hAnsi="宋体" w:cs="宋体"/>
          <w:color w:val="auto"/>
          <w:kern w:val="0"/>
          <w:sz w:val="24"/>
          <w:highlight w:val="none"/>
          <w:lang w:eastAsia="zh-CN"/>
        </w:rPr>
        <w:t>竞争性比选文件</w:t>
      </w:r>
      <w:r>
        <w:rPr>
          <w:rFonts w:hint="eastAsia" w:ascii="宋体" w:hAnsi="宋体" w:eastAsia="宋体" w:cs="宋体"/>
          <w:color w:val="auto"/>
          <w:kern w:val="0"/>
          <w:sz w:val="24"/>
          <w:highlight w:val="none"/>
        </w:rPr>
        <w:t>要求在“满足情况”栏注明“满足”或“不满足”；</w:t>
      </w:r>
    </w:p>
    <w:p>
      <w:pPr>
        <w:adjustRightInd w:val="0"/>
        <w:snapToGrid w:val="0"/>
        <w:spacing w:line="5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本项目“第三部分 采购需求”中</w:t>
      </w:r>
      <w:r>
        <w:rPr>
          <w:rFonts w:hint="eastAsia" w:ascii="宋体" w:hAnsi="宋体" w:eastAsia="宋体" w:cs="宋体"/>
          <w:color w:val="auto"/>
          <w:kern w:val="0"/>
          <w:sz w:val="24"/>
          <w:highlight w:val="none"/>
          <w:lang w:val="zh-CN"/>
        </w:rPr>
        <w:t>所有带“</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lang w:val="zh-CN"/>
        </w:rPr>
        <w:t>”条款，投标人必须作出实质性响应，如有任意一条未响应或不满足，将被视为无效。</w:t>
      </w:r>
    </w:p>
    <w:p>
      <w:pPr>
        <w:autoSpaceDE w:val="0"/>
        <w:autoSpaceDN w:val="0"/>
        <w:adjustRightInd w:val="0"/>
        <w:spacing w:line="360" w:lineRule="auto"/>
        <w:rPr>
          <w:rFonts w:hint="eastAsia" w:ascii="宋体" w:hAnsi="宋体" w:eastAsia="宋体" w:cs="宋体"/>
          <w:color w:val="auto"/>
          <w:kern w:val="0"/>
          <w:sz w:val="24"/>
          <w:highlight w:val="none"/>
          <w:lang w:val="zh-CN"/>
        </w:rPr>
      </w:pPr>
    </w:p>
    <w:p>
      <w:pPr>
        <w:autoSpaceDE w:val="0"/>
        <w:autoSpaceDN w:val="0"/>
        <w:adjustRightInd w:val="0"/>
        <w:spacing w:line="360" w:lineRule="auto"/>
        <w:rPr>
          <w:rFonts w:hint="eastAsia" w:ascii="宋体" w:hAnsi="宋体" w:eastAsia="宋体" w:cs="宋体"/>
          <w:color w:val="auto"/>
          <w:kern w:val="0"/>
          <w:sz w:val="24"/>
          <w:highlight w:val="none"/>
          <w:lang w:val="zh-CN"/>
        </w:rPr>
      </w:pPr>
    </w:p>
    <w:p>
      <w:pPr>
        <w:autoSpaceDE w:val="0"/>
        <w:autoSpaceDN w:val="0"/>
        <w:adjustRightInd w:val="0"/>
        <w:spacing w:line="360" w:lineRule="auto"/>
        <w:rPr>
          <w:rFonts w:hint="eastAsia" w:ascii="宋体" w:hAnsi="宋体" w:eastAsia="宋体" w:cs="宋体"/>
          <w:color w:val="auto"/>
          <w:kern w:val="0"/>
          <w:sz w:val="24"/>
          <w:highlight w:val="none"/>
          <w:lang w:val="zh-CN"/>
        </w:rPr>
      </w:pPr>
    </w:p>
    <w:p>
      <w:pPr>
        <w:autoSpaceDE w:val="0"/>
        <w:autoSpaceDN w:val="0"/>
        <w:adjustRightIn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投标人（公章）：     </w:t>
      </w:r>
    </w:p>
    <w:p>
      <w:pPr>
        <w:autoSpaceDE w:val="0"/>
        <w:autoSpaceDN w:val="0"/>
        <w:adjustRightIn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法定代表人或授权代表（签字）：     </w:t>
      </w:r>
    </w:p>
    <w:p>
      <w:pPr>
        <w:autoSpaceDE w:val="0"/>
        <w:autoSpaceDN w:val="0"/>
        <w:adjustRightInd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日期：20  年  月  日</w:t>
      </w:r>
    </w:p>
    <w:p>
      <w:pPr>
        <w:autoSpaceDE w:val="0"/>
        <w:autoSpaceDN w:val="0"/>
        <w:adjustRightInd w:val="0"/>
        <w:spacing w:line="440" w:lineRule="exact"/>
        <w:jc w:val="center"/>
        <w:rPr>
          <w:rFonts w:hint="eastAsia" w:ascii="宋体" w:hAnsi="宋体" w:eastAsia="宋体" w:cs="宋体"/>
          <w:color w:val="auto"/>
          <w:kern w:val="0"/>
          <w:sz w:val="24"/>
          <w:highlight w:val="none"/>
          <w:lang w:val="zh-CN"/>
        </w:rPr>
      </w:pPr>
    </w:p>
    <w:p>
      <w:pPr>
        <w:widowControl/>
        <w:jc w:val="left"/>
        <w:rPr>
          <w:rFonts w:hint="eastAsia" w:ascii="宋体" w:hAnsi="宋体" w:eastAsia="宋体" w:cs="宋体"/>
          <w:b/>
          <w:color w:val="auto"/>
          <w:kern w:val="0"/>
          <w:sz w:val="32"/>
          <w:szCs w:val="32"/>
          <w:highlight w:val="none"/>
        </w:rPr>
        <w:sectPr>
          <w:footerReference r:id="rId4" w:type="default"/>
          <w:pgSz w:w="11907" w:h="16840"/>
          <w:pgMar w:top="1304" w:right="1565" w:bottom="1247" w:left="1344" w:header="851" w:footer="992" w:gutter="0"/>
          <w:pgNumType w:start="48"/>
          <w:cols w:space="0" w:num="1"/>
          <w:rtlGutter w:val="0"/>
          <w:docGrid w:linePitch="312" w:charSpace="0"/>
        </w:sectPr>
      </w:pPr>
    </w:p>
    <w:p>
      <w:pPr>
        <w:spacing w:line="440" w:lineRule="exact"/>
        <w:jc w:val="center"/>
        <w:outlineLvl w:val="1"/>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、项目组人员情况安排表</w:t>
      </w:r>
    </w:p>
    <w:p>
      <w:pPr>
        <w:spacing w:line="440" w:lineRule="exact"/>
        <w:jc w:val="left"/>
        <w:rPr>
          <w:rFonts w:hint="eastAsia" w:ascii="宋体" w:hAnsi="宋体" w:eastAsia="宋体" w:cs="宋体"/>
          <w:b/>
          <w:bCs/>
          <w:color w:val="auto"/>
          <w:kern w:val="0"/>
          <w:sz w:val="30"/>
          <w:szCs w:val="30"/>
          <w:highlight w:val="none"/>
          <w:lang w:val="zh-CN"/>
        </w:rPr>
      </w:pPr>
      <w:r>
        <w:rPr>
          <w:rFonts w:hint="eastAsia" w:ascii="宋体" w:hAnsi="宋体" w:eastAsia="宋体" w:cs="宋体"/>
          <w:b/>
          <w:color w:val="auto"/>
          <w:sz w:val="24"/>
          <w:highlight w:val="none"/>
        </w:rPr>
        <w:t>项目编号：</w:t>
      </w:r>
    </w:p>
    <w:tbl>
      <w:tblPr>
        <w:tblStyle w:val="37"/>
        <w:tblW w:w="9475"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24"/>
        <w:gridCol w:w="723"/>
        <w:gridCol w:w="909"/>
        <w:gridCol w:w="1136"/>
        <w:gridCol w:w="985"/>
        <w:gridCol w:w="1895"/>
        <w:gridCol w:w="1364"/>
        <w:gridCol w:w="143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1" w:hRule="atLeast"/>
        </w:trPr>
        <w:tc>
          <w:tcPr>
            <w:tcW w:w="1024"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拟任分工</w:t>
            </w:r>
          </w:p>
        </w:tc>
        <w:tc>
          <w:tcPr>
            <w:tcW w:w="723" w:type="dxa"/>
            <w:tcBorders>
              <w:top w:val="single" w:color="auto" w:sz="12" w:space="0"/>
              <w:left w:val="single" w:color="auto" w:sz="2" w:space="0"/>
              <w:bottom w:val="single" w:color="auto" w:sz="2" w:space="0"/>
              <w:right w:val="single" w:color="auto" w:sz="2" w:space="0"/>
            </w:tcBorders>
            <w:vAlign w:val="center"/>
          </w:tcPr>
          <w:p>
            <w:pPr>
              <w:spacing w:line="360" w:lineRule="auto"/>
              <w:ind w:left="105" w:lef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09"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13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本单位工作时间</w:t>
            </w:r>
          </w:p>
        </w:tc>
        <w:tc>
          <w:tcPr>
            <w:tcW w:w="985"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专业工龄</w:t>
            </w:r>
          </w:p>
        </w:tc>
        <w:tc>
          <w:tcPr>
            <w:tcW w:w="1895" w:type="dxa"/>
            <w:tcBorders>
              <w:top w:val="single" w:color="auto" w:sz="12" w:space="0"/>
              <w:left w:val="single" w:color="auto" w:sz="2" w:space="0"/>
              <w:bottom w:val="single" w:color="auto" w:sz="2" w:space="0"/>
              <w:right w:val="single" w:color="auto" w:sz="2" w:space="0"/>
            </w:tcBorders>
            <w:vAlign w:val="center"/>
          </w:tcPr>
          <w:p>
            <w:pPr>
              <w:spacing w:line="360" w:lineRule="auto"/>
              <w:ind w:left="132" w:leftChars="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获得的专业技术资格证或技术培训登记证</w:t>
            </w:r>
          </w:p>
        </w:tc>
        <w:tc>
          <w:tcPr>
            <w:tcW w:w="1364" w:type="dxa"/>
            <w:tcBorders>
              <w:top w:val="single" w:color="auto" w:sz="12" w:space="0"/>
              <w:left w:val="single" w:color="auto" w:sz="2" w:space="0"/>
              <w:bottom w:val="single" w:color="auto" w:sz="2"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 历</w:t>
            </w:r>
          </w:p>
        </w:tc>
        <w:tc>
          <w:tcPr>
            <w:tcW w:w="1439" w:type="dxa"/>
            <w:tcBorders>
              <w:top w:val="single" w:color="auto" w:sz="12" w:space="0"/>
              <w:left w:val="single" w:color="auto" w:sz="4" w:space="0"/>
              <w:bottom w:val="single" w:color="auto" w:sz="2" w:space="0"/>
              <w:right w:val="single" w:color="auto" w:sz="12"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联系电话/手机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45" w:hRule="atLeast"/>
        </w:trPr>
        <w:tc>
          <w:tcPr>
            <w:tcW w:w="1024"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909"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hint="eastAsia" w:ascii="宋体" w:hAnsi="宋体" w:eastAsia="宋体" w:cs="宋体"/>
                <w:color w:val="auto"/>
                <w:sz w:val="24"/>
                <w:highlight w:val="none"/>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hint="eastAsia" w:ascii="宋体" w:hAnsi="宋体" w:eastAsia="宋体" w:cs="宋体"/>
                <w:color w:val="auto"/>
                <w:sz w:val="24"/>
                <w:highlight w:val="none"/>
              </w:rPr>
            </w:pPr>
          </w:p>
        </w:tc>
        <w:tc>
          <w:tcPr>
            <w:tcW w:w="98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p>
        </w:tc>
        <w:tc>
          <w:tcPr>
            <w:tcW w:w="189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364"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439"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4" w:hRule="atLeast"/>
        </w:trPr>
        <w:tc>
          <w:tcPr>
            <w:tcW w:w="1024" w:type="dxa"/>
            <w:vMerge w:val="restart"/>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909"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hint="eastAsia" w:ascii="宋体" w:hAnsi="宋体" w:eastAsia="宋体" w:cs="宋体"/>
                <w:color w:val="auto"/>
                <w:sz w:val="24"/>
                <w:highlight w:val="none"/>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hint="eastAsia" w:ascii="宋体" w:hAnsi="宋体" w:eastAsia="宋体" w:cs="宋体"/>
                <w:color w:val="auto"/>
                <w:sz w:val="24"/>
                <w:highlight w:val="none"/>
              </w:rPr>
            </w:pPr>
          </w:p>
        </w:tc>
        <w:tc>
          <w:tcPr>
            <w:tcW w:w="98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p>
        </w:tc>
        <w:tc>
          <w:tcPr>
            <w:tcW w:w="189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364"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439"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4" w:hRule="atLeast"/>
        </w:trPr>
        <w:tc>
          <w:tcPr>
            <w:tcW w:w="1024"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hint="eastAsia" w:ascii="宋体" w:hAnsi="宋体" w:eastAsia="宋体" w:cs="宋体"/>
                <w:color w:val="auto"/>
                <w:sz w:val="24"/>
                <w:highlight w:val="none"/>
              </w:rPr>
            </w:pPr>
          </w:p>
        </w:tc>
        <w:tc>
          <w:tcPr>
            <w:tcW w:w="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909"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hint="eastAsia" w:ascii="宋体" w:hAnsi="宋体" w:eastAsia="宋体" w:cs="宋体"/>
                <w:color w:val="auto"/>
                <w:sz w:val="24"/>
                <w:highlight w:val="none"/>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hint="eastAsia" w:ascii="宋体" w:hAnsi="宋体" w:eastAsia="宋体" w:cs="宋体"/>
                <w:color w:val="auto"/>
                <w:sz w:val="24"/>
                <w:highlight w:val="none"/>
              </w:rPr>
            </w:pPr>
          </w:p>
        </w:tc>
        <w:tc>
          <w:tcPr>
            <w:tcW w:w="98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p>
        </w:tc>
        <w:tc>
          <w:tcPr>
            <w:tcW w:w="189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364"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439"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4" w:hRule="atLeast"/>
        </w:trPr>
        <w:tc>
          <w:tcPr>
            <w:tcW w:w="1024" w:type="dxa"/>
            <w:vMerge w:val="restart"/>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909"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hint="eastAsia" w:ascii="宋体" w:hAnsi="宋体" w:eastAsia="宋体" w:cs="宋体"/>
                <w:color w:val="auto"/>
                <w:sz w:val="24"/>
                <w:highlight w:val="none"/>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hint="eastAsia" w:ascii="宋体" w:hAnsi="宋体" w:eastAsia="宋体" w:cs="宋体"/>
                <w:color w:val="auto"/>
                <w:sz w:val="24"/>
                <w:highlight w:val="none"/>
              </w:rPr>
            </w:pPr>
          </w:p>
        </w:tc>
        <w:tc>
          <w:tcPr>
            <w:tcW w:w="98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p>
        </w:tc>
        <w:tc>
          <w:tcPr>
            <w:tcW w:w="189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364"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439"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4" w:hRule="atLeast"/>
        </w:trPr>
        <w:tc>
          <w:tcPr>
            <w:tcW w:w="1024"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hint="eastAsia" w:ascii="宋体" w:hAnsi="宋体" w:eastAsia="宋体" w:cs="宋体"/>
                <w:color w:val="auto"/>
                <w:sz w:val="24"/>
                <w:highlight w:val="none"/>
              </w:rPr>
            </w:pPr>
          </w:p>
        </w:tc>
        <w:tc>
          <w:tcPr>
            <w:tcW w:w="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909"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hint="eastAsia" w:ascii="宋体" w:hAnsi="宋体" w:eastAsia="宋体" w:cs="宋体"/>
                <w:color w:val="auto"/>
                <w:sz w:val="24"/>
                <w:highlight w:val="none"/>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hint="eastAsia" w:ascii="宋体" w:hAnsi="宋体" w:eastAsia="宋体" w:cs="宋体"/>
                <w:color w:val="auto"/>
                <w:sz w:val="24"/>
                <w:highlight w:val="none"/>
              </w:rPr>
            </w:pPr>
          </w:p>
        </w:tc>
        <w:tc>
          <w:tcPr>
            <w:tcW w:w="98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p>
        </w:tc>
        <w:tc>
          <w:tcPr>
            <w:tcW w:w="189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364"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439"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4" w:hRule="atLeast"/>
        </w:trPr>
        <w:tc>
          <w:tcPr>
            <w:tcW w:w="1024"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909"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hint="eastAsia" w:ascii="宋体" w:hAnsi="宋体" w:eastAsia="宋体" w:cs="宋体"/>
                <w:color w:val="auto"/>
                <w:sz w:val="24"/>
                <w:highlight w:val="none"/>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hint="eastAsia" w:ascii="宋体" w:hAnsi="宋体" w:eastAsia="宋体" w:cs="宋体"/>
                <w:color w:val="auto"/>
                <w:sz w:val="24"/>
                <w:highlight w:val="none"/>
              </w:rPr>
            </w:pPr>
          </w:p>
        </w:tc>
        <w:tc>
          <w:tcPr>
            <w:tcW w:w="98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p>
        </w:tc>
        <w:tc>
          <w:tcPr>
            <w:tcW w:w="189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364"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439"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4" w:hRule="atLeast"/>
        </w:trPr>
        <w:tc>
          <w:tcPr>
            <w:tcW w:w="1024" w:type="dxa"/>
            <w:vMerge w:val="restart"/>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p>
        </w:tc>
        <w:tc>
          <w:tcPr>
            <w:tcW w:w="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909"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hint="eastAsia" w:ascii="宋体" w:hAnsi="宋体" w:eastAsia="宋体" w:cs="宋体"/>
                <w:color w:val="auto"/>
                <w:sz w:val="24"/>
                <w:highlight w:val="none"/>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hint="eastAsia" w:ascii="宋体" w:hAnsi="宋体" w:eastAsia="宋体" w:cs="宋体"/>
                <w:color w:val="auto"/>
                <w:sz w:val="24"/>
                <w:highlight w:val="none"/>
              </w:rPr>
            </w:pPr>
          </w:p>
        </w:tc>
        <w:tc>
          <w:tcPr>
            <w:tcW w:w="98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p>
        </w:tc>
        <w:tc>
          <w:tcPr>
            <w:tcW w:w="189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364"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439"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4" w:hRule="atLeast"/>
        </w:trPr>
        <w:tc>
          <w:tcPr>
            <w:tcW w:w="1024" w:type="dxa"/>
            <w:vMerge w:val="continue"/>
            <w:tcBorders>
              <w:top w:val="single" w:color="auto" w:sz="2" w:space="0"/>
              <w:left w:val="single" w:color="auto" w:sz="12" w:space="0"/>
              <w:bottom w:val="single" w:color="auto" w:sz="2" w:space="0"/>
              <w:right w:val="single" w:color="auto" w:sz="2" w:space="0"/>
            </w:tcBorders>
            <w:vAlign w:val="center"/>
          </w:tcPr>
          <w:p>
            <w:pPr>
              <w:widowControl/>
              <w:jc w:val="left"/>
              <w:rPr>
                <w:rFonts w:hint="eastAsia" w:ascii="宋体" w:hAnsi="宋体" w:eastAsia="宋体" w:cs="宋体"/>
                <w:color w:val="auto"/>
                <w:sz w:val="24"/>
                <w:highlight w:val="none"/>
              </w:rPr>
            </w:pPr>
          </w:p>
        </w:tc>
        <w:tc>
          <w:tcPr>
            <w:tcW w:w="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909" w:type="dxa"/>
            <w:tcBorders>
              <w:top w:val="single" w:color="auto" w:sz="2" w:space="0"/>
              <w:left w:val="single" w:color="auto" w:sz="2" w:space="0"/>
              <w:bottom w:val="single" w:color="auto" w:sz="2" w:space="0"/>
              <w:right w:val="single" w:color="auto" w:sz="2" w:space="0"/>
            </w:tcBorders>
            <w:vAlign w:val="top"/>
          </w:tcPr>
          <w:p>
            <w:pPr>
              <w:spacing w:line="360" w:lineRule="auto"/>
              <w:ind w:firstLine="921" w:firstLineChars="384"/>
              <w:jc w:val="center"/>
              <w:rPr>
                <w:rFonts w:hint="eastAsia" w:ascii="宋体" w:hAnsi="宋体" w:eastAsia="宋体" w:cs="宋体"/>
                <w:color w:val="auto"/>
                <w:sz w:val="24"/>
                <w:highlight w:val="none"/>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60" w:lineRule="auto"/>
              <w:ind w:firstLine="921" w:firstLineChars="384"/>
              <w:jc w:val="center"/>
              <w:rPr>
                <w:rFonts w:hint="eastAsia" w:ascii="宋体" w:hAnsi="宋体" w:eastAsia="宋体" w:cs="宋体"/>
                <w:color w:val="auto"/>
                <w:sz w:val="24"/>
                <w:highlight w:val="none"/>
              </w:rPr>
            </w:pPr>
          </w:p>
        </w:tc>
        <w:tc>
          <w:tcPr>
            <w:tcW w:w="98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p>
        </w:tc>
        <w:tc>
          <w:tcPr>
            <w:tcW w:w="1895" w:type="dxa"/>
            <w:tcBorders>
              <w:top w:val="single" w:color="auto" w:sz="2" w:space="0"/>
              <w:left w:val="single" w:color="auto" w:sz="2" w:space="0"/>
              <w:bottom w:val="single" w:color="auto" w:sz="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364" w:type="dxa"/>
            <w:tcBorders>
              <w:top w:val="single" w:color="auto" w:sz="2" w:space="0"/>
              <w:left w:val="single" w:color="auto" w:sz="2" w:space="0"/>
              <w:bottom w:val="single" w:color="auto" w:sz="2" w:space="0"/>
              <w:right w:val="single" w:color="auto" w:sz="4"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439" w:type="dxa"/>
            <w:tcBorders>
              <w:top w:val="single" w:color="auto" w:sz="2" w:space="0"/>
              <w:left w:val="single" w:color="auto" w:sz="4" w:space="0"/>
              <w:bottom w:val="single" w:color="auto" w:sz="2" w:space="0"/>
              <w:right w:val="single" w:color="auto" w:sz="12" w:space="0"/>
            </w:tcBorders>
            <w:vAlign w:val="center"/>
          </w:tcPr>
          <w:p>
            <w:pPr>
              <w:spacing w:line="360" w:lineRule="auto"/>
              <w:ind w:firstLine="600"/>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5" w:hRule="atLeast"/>
        </w:trPr>
        <w:tc>
          <w:tcPr>
            <w:tcW w:w="1024" w:type="dxa"/>
            <w:tcBorders>
              <w:top w:val="single" w:color="auto" w:sz="2" w:space="0"/>
              <w:left w:val="single" w:color="auto" w:sz="12" w:space="0"/>
              <w:bottom w:val="single" w:color="auto" w:sz="12" w:space="0"/>
              <w:right w:val="single" w:color="auto" w:sz="2" w:space="0"/>
            </w:tcBorders>
            <w:vAlign w:val="top"/>
          </w:tcPr>
          <w:p>
            <w:pPr>
              <w:spacing w:line="360" w:lineRule="auto"/>
              <w:rPr>
                <w:rFonts w:hint="eastAsia" w:ascii="宋体" w:hAnsi="宋体" w:eastAsia="宋体" w:cs="宋体"/>
                <w:color w:val="auto"/>
                <w:sz w:val="24"/>
                <w:highlight w:val="none"/>
              </w:rPr>
            </w:pPr>
          </w:p>
        </w:tc>
        <w:tc>
          <w:tcPr>
            <w:tcW w:w="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909" w:type="dxa"/>
            <w:tcBorders>
              <w:top w:val="single" w:color="auto" w:sz="2" w:space="0"/>
              <w:left w:val="single" w:color="auto" w:sz="2" w:space="0"/>
              <w:bottom w:val="single" w:color="auto" w:sz="12" w:space="0"/>
              <w:right w:val="single" w:color="auto" w:sz="2" w:space="0"/>
            </w:tcBorders>
            <w:vAlign w:val="top"/>
          </w:tcPr>
          <w:p>
            <w:pPr>
              <w:spacing w:line="360" w:lineRule="auto"/>
              <w:ind w:firstLine="921" w:firstLineChars="384"/>
              <w:jc w:val="center"/>
              <w:rPr>
                <w:rFonts w:hint="eastAsia" w:ascii="宋体" w:hAnsi="宋体" w:eastAsia="宋体" w:cs="宋体"/>
                <w:color w:val="auto"/>
                <w:sz w:val="24"/>
                <w:highlight w:val="none"/>
              </w:rPr>
            </w:pPr>
          </w:p>
        </w:tc>
        <w:tc>
          <w:tcPr>
            <w:tcW w:w="113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921" w:firstLineChars="384"/>
              <w:jc w:val="center"/>
              <w:rPr>
                <w:rFonts w:hint="eastAsia" w:ascii="宋体" w:hAnsi="宋体" w:eastAsia="宋体" w:cs="宋体"/>
                <w:color w:val="auto"/>
                <w:sz w:val="24"/>
                <w:highlight w:val="none"/>
              </w:rPr>
            </w:pPr>
          </w:p>
        </w:tc>
        <w:tc>
          <w:tcPr>
            <w:tcW w:w="985" w:type="dxa"/>
            <w:tcBorders>
              <w:top w:val="single" w:color="auto" w:sz="2" w:space="0"/>
              <w:left w:val="single" w:color="auto" w:sz="2" w:space="0"/>
              <w:bottom w:val="single" w:color="auto" w:sz="12" w:space="0"/>
              <w:right w:val="single" w:color="auto" w:sz="2" w:space="0"/>
            </w:tcBorders>
            <w:vAlign w:val="center"/>
          </w:tcPr>
          <w:p>
            <w:pPr>
              <w:spacing w:line="360" w:lineRule="auto"/>
              <w:jc w:val="center"/>
              <w:rPr>
                <w:rFonts w:hint="eastAsia" w:ascii="宋体" w:hAnsi="宋体" w:eastAsia="宋体" w:cs="宋体"/>
                <w:color w:val="auto"/>
                <w:sz w:val="24"/>
                <w:highlight w:val="none"/>
              </w:rPr>
            </w:pPr>
          </w:p>
        </w:tc>
        <w:tc>
          <w:tcPr>
            <w:tcW w:w="1895" w:type="dxa"/>
            <w:tcBorders>
              <w:top w:val="single" w:color="auto" w:sz="2" w:space="0"/>
              <w:left w:val="single" w:color="auto" w:sz="2" w:space="0"/>
              <w:bottom w:val="single" w:color="auto" w:sz="12" w:space="0"/>
              <w:right w:val="single" w:color="auto" w:sz="2"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364" w:type="dxa"/>
            <w:tcBorders>
              <w:top w:val="single" w:color="auto" w:sz="2" w:space="0"/>
              <w:left w:val="single" w:color="auto" w:sz="2" w:space="0"/>
              <w:bottom w:val="single" w:color="auto" w:sz="12" w:space="0"/>
              <w:right w:val="single" w:color="auto" w:sz="4" w:space="0"/>
            </w:tcBorders>
            <w:vAlign w:val="center"/>
          </w:tcPr>
          <w:p>
            <w:pPr>
              <w:spacing w:line="360" w:lineRule="auto"/>
              <w:ind w:firstLine="600"/>
              <w:jc w:val="center"/>
              <w:rPr>
                <w:rFonts w:hint="eastAsia" w:ascii="宋体" w:hAnsi="宋体" w:eastAsia="宋体" w:cs="宋体"/>
                <w:color w:val="auto"/>
                <w:sz w:val="24"/>
                <w:highlight w:val="none"/>
              </w:rPr>
            </w:pPr>
          </w:p>
        </w:tc>
        <w:tc>
          <w:tcPr>
            <w:tcW w:w="1439" w:type="dxa"/>
            <w:tcBorders>
              <w:top w:val="single" w:color="auto" w:sz="2" w:space="0"/>
              <w:left w:val="single" w:color="auto" w:sz="4" w:space="0"/>
              <w:bottom w:val="single" w:color="auto" w:sz="12" w:space="0"/>
              <w:right w:val="single" w:color="auto" w:sz="12" w:space="0"/>
            </w:tcBorders>
            <w:vAlign w:val="center"/>
          </w:tcPr>
          <w:p>
            <w:pPr>
              <w:spacing w:line="360" w:lineRule="auto"/>
              <w:ind w:firstLine="600"/>
              <w:jc w:val="center"/>
              <w:rPr>
                <w:rFonts w:hint="eastAsia" w:ascii="宋体" w:hAnsi="宋体" w:eastAsia="宋体" w:cs="宋体"/>
                <w:color w:val="auto"/>
                <w:sz w:val="24"/>
                <w:highlight w:val="none"/>
              </w:rPr>
            </w:pPr>
          </w:p>
        </w:tc>
      </w:tr>
    </w:tbl>
    <w:p>
      <w:pPr>
        <w:adjustRightInd w:val="0"/>
        <w:snapToGrid w:val="0"/>
        <w:spacing w:line="440" w:lineRule="exact"/>
        <w:ind w:firstLine="235" w:firstLineChars="98"/>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投标人（公章）：      </w:t>
      </w:r>
    </w:p>
    <w:p>
      <w:pPr>
        <w:autoSpaceDE w:val="0"/>
        <w:autoSpaceDN w:val="0"/>
        <w:adjustRightIn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法定代表人或授权代表（签字）： </w:t>
      </w:r>
    </w:p>
    <w:p>
      <w:pPr>
        <w:autoSpaceDE w:val="0"/>
        <w:autoSpaceDN w:val="0"/>
        <w:adjustRightIn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日期：20  年  月   日</w:t>
      </w:r>
    </w:p>
    <w:p>
      <w:pPr>
        <w:widowControl/>
        <w:jc w:val="left"/>
        <w:rPr>
          <w:rFonts w:hint="eastAsia" w:ascii="宋体" w:hAnsi="宋体" w:eastAsia="宋体" w:cs="宋体"/>
          <w:b/>
          <w:color w:val="auto"/>
          <w:kern w:val="0"/>
          <w:sz w:val="32"/>
          <w:szCs w:val="32"/>
          <w:highlight w:val="none"/>
        </w:rPr>
        <w:sectPr>
          <w:pgSz w:w="11907" w:h="16840"/>
          <w:pgMar w:top="1304" w:right="1565" w:bottom="1247" w:left="1344" w:header="851" w:footer="992" w:gutter="0"/>
          <w:cols w:space="0" w:num="1"/>
          <w:rtlGutter w:val="0"/>
          <w:docGrid w:linePitch="312" w:charSpace="0"/>
        </w:sectPr>
      </w:pPr>
    </w:p>
    <w:p>
      <w:pPr>
        <w:spacing w:line="440" w:lineRule="exact"/>
        <w:jc w:val="center"/>
        <w:outlineLvl w:val="1"/>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w:t>
      </w:r>
      <w:bookmarkEnd w:id="33"/>
      <w:bookmarkEnd w:id="34"/>
      <w:r>
        <w:rPr>
          <w:rFonts w:hint="eastAsia" w:ascii="宋体" w:hAnsi="宋体" w:eastAsia="宋体" w:cs="宋体"/>
          <w:b/>
          <w:color w:val="auto"/>
          <w:kern w:val="0"/>
          <w:sz w:val="32"/>
          <w:szCs w:val="32"/>
          <w:highlight w:val="none"/>
        </w:rPr>
        <w:t>距采购人最近或者能为本项目提供最优服务的网点情况表</w:t>
      </w:r>
    </w:p>
    <w:p>
      <w:pPr>
        <w:spacing w:line="440" w:lineRule="exact"/>
        <w:jc w:val="left"/>
        <w:rPr>
          <w:rFonts w:hint="eastAsia" w:ascii="宋体" w:hAnsi="宋体" w:eastAsia="宋体" w:cs="宋体"/>
          <w:color w:val="auto"/>
          <w:sz w:val="24"/>
          <w:highlight w:val="none"/>
        </w:rPr>
      </w:pPr>
    </w:p>
    <w:p>
      <w:pPr>
        <w:spacing w:line="440" w:lineRule="exact"/>
        <w:ind w:firstLine="602" w:firstLineChars="250"/>
        <w:jc w:val="left"/>
        <w:rPr>
          <w:rFonts w:hint="eastAsia" w:ascii="宋体" w:hAnsi="宋体" w:eastAsia="宋体" w:cs="宋体"/>
          <w:b/>
          <w:bCs/>
          <w:color w:val="auto"/>
          <w:kern w:val="0"/>
          <w:sz w:val="30"/>
          <w:szCs w:val="30"/>
          <w:highlight w:val="none"/>
          <w:lang w:val="zh-CN"/>
        </w:rPr>
      </w:pPr>
      <w:r>
        <w:rPr>
          <w:rFonts w:hint="eastAsia" w:ascii="宋体" w:hAnsi="宋体" w:eastAsia="宋体" w:cs="宋体"/>
          <w:b/>
          <w:color w:val="auto"/>
          <w:sz w:val="24"/>
          <w:highlight w:val="none"/>
        </w:rPr>
        <w:t>项目编号：</w:t>
      </w:r>
    </w:p>
    <w:tbl>
      <w:tblPr>
        <w:tblStyle w:val="37"/>
        <w:tblW w:w="80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2176"/>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服务网点名称</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地址</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注册资本金</w:t>
            </w:r>
          </w:p>
        </w:tc>
        <w:tc>
          <w:tcPr>
            <w:tcW w:w="2176"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c>
          <w:tcPr>
            <w:tcW w:w="2520" w:type="dxa"/>
            <w:gridSpan w:val="3"/>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其中：投标人出资比例</w:t>
            </w:r>
          </w:p>
        </w:tc>
        <w:tc>
          <w:tcPr>
            <w:tcW w:w="1436"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员工总人数</w:t>
            </w:r>
          </w:p>
        </w:tc>
        <w:tc>
          <w:tcPr>
            <w:tcW w:w="2176"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c>
          <w:tcPr>
            <w:tcW w:w="2520" w:type="dxa"/>
            <w:gridSpan w:val="3"/>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ind w:left="60"/>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其中：技术人员数</w:t>
            </w:r>
          </w:p>
        </w:tc>
        <w:tc>
          <w:tcPr>
            <w:tcW w:w="1436"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经营期限</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售后服务协议</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售后服务内容</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工作业绩</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服务承诺</w:t>
            </w:r>
          </w:p>
        </w:tc>
        <w:tc>
          <w:tcPr>
            <w:tcW w:w="6132" w:type="dxa"/>
            <w:gridSpan w:val="5"/>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业务咨询电话</w:t>
            </w:r>
          </w:p>
        </w:tc>
        <w:tc>
          <w:tcPr>
            <w:tcW w:w="2367" w:type="dxa"/>
            <w:gridSpan w:val="2"/>
            <w:tcBorders>
              <w:top w:val="single" w:color="auto" w:sz="4" w:space="0"/>
              <w:left w:val="single" w:color="auto" w:sz="4" w:space="0"/>
              <w:bottom w:val="single" w:color="auto" w:sz="4" w:space="0"/>
              <w:right w:val="single" w:color="auto" w:sz="2"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c>
          <w:tcPr>
            <w:tcW w:w="1440" w:type="dxa"/>
            <w:tcBorders>
              <w:top w:val="single" w:color="auto" w:sz="4" w:space="0"/>
              <w:left w:val="single" w:color="auto" w:sz="2" w:space="0"/>
              <w:bottom w:val="single" w:color="auto" w:sz="4" w:space="0"/>
              <w:right w:val="single" w:color="auto" w:sz="2"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传 真</w:t>
            </w:r>
          </w:p>
        </w:tc>
        <w:tc>
          <w:tcPr>
            <w:tcW w:w="2325" w:type="dxa"/>
            <w:gridSpan w:val="2"/>
            <w:tcBorders>
              <w:top w:val="single" w:color="auto" w:sz="4" w:space="0"/>
              <w:left w:val="single" w:color="auto" w:sz="2" w:space="0"/>
              <w:bottom w:val="single" w:color="auto" w:sz="4" w:space="0"/>
              <w:right w:val="single" w:color="auto" w:sz="2"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负责人</w:t>
            </w:r>
          </w:p>
        </w:tc>
        <w:tc>
          <w:tcPr>
            <w:tcW w:w="2367" w:type="dxa"/>
            <w:gridSpan w:val="2"/>
            <w:tcBorders>
              <w:top w:val="single" w:color="auto" w:sz="4" w:space="0"/>
              <w:left w:val="single" w:color="auto" w:sz="4" w:space="0"/>
              <w:bottom w:val="single" w:color="auto" w:sz="4" w:space="0"/>
              <w:right w:val="single" w:color="auto" w:sz="2"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c>
          <w:tcPr>
            <w:tcW w:w="1440" w:type="dxa"/>
            <w:tcBorders>
              <w:top w:val="single" w:color="auto" w:sz="4" w:space="0"/>
              <w:left w:val="single" w:color="auto" w:sz="2" w:space="0"/>
              <w:bottom w:val="single" w:color="auto" w:sz="4" w:space="0"/>
              <w:right w:val="single" w:color="auto" w:sz="2"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联系电话</w:t>
            </w:r>
          </w:p>
        </w:tc>
        <w:tc>
          <w:tcPr>
            <w:tcW w:w="2325" w:type="dxa"/>
            <w:gridSpan w:val="2"/>
            <w:tcBorders>
              <w:top w:val="single" w:color="auto" w:sz="4" w:space="0"/>
              <w:left w:val="single" w:color="auto" w:sz="2" w:space="0"/>
              <w:bottom w:val="single" w:color="auto" w:sz="4" w:space="0"/>
              <w:right w:val="single" w:color="auto" w:sz="4" w:space="0"/>
            </w:tcBorders>
            <w:vAlign w:val="top"/>
          </w:tcPr>
          <w:p>
            <w:pPr>
              <w:snapToGrid w:val="0"/>
              <w:spacing w:before="50" w:afterLines="50" w:line="400" w:lineRule="exact"/>
              <w:jc w:val="left"/>
              <w:rPr>
                <w:rFonts w:hint="eastAsia" w:ascii="宋体" w:hAnsi="宋体" w:eastAsia="宋体" w:cs="宋体"/>
                <w:color w:val="auto"/>
                <w:sz w:val="24"/>
                <w:szCs w:val="20"/>
                <w:highlight w:val="none"/>
              </w:rPr>
            </w:pPr>
          </w:p>
        </w:tc>
      </w:tr>
    </w:tbl>
    <w:p>
      <w:pPr>
        <w:spacing w:line="460" w:lineRule="exact"/>
        <w:ind w:firstLine="5280" w:firstLineChars="2200"/>
        <w:rPr>
          <w:rFonts w:hint="eastAsia" w:ascii="宋体" w:hAnsi="宋体" w:eastAsia="宋体" w:cs="宋体"/>
          <w:color w:val="auto"/>
          <w:sz w:val="24"/>
          <w:highlight w:val="none"/>
        </w:rPr>
      </w:pPr>
    </w:p>
    <w:p>
      <w:pPr>
        <w:spacing w:line="460" w:lineRule="exact"/>
        <w:ind w:firstLine="5280" w:firstLineChars="2200"/>
        <w:rPr>
          <w:rFonts w:hint="eastAsia" w:ascii="宋体" w:hAnsi="宋体" w:eastAsia="宋体" w:cs="宋体"/>
          <w:color w:val="auto"/>
          <w:sz w:val="24"/>
          <w:highlight w:val="none"/>
        </w:rPr>
      </w:pPr>
    </w:p>
    <w:p>
      <w:pPr>
        <w:wordWrap w:val="0"/>
        <w:autoSpaceDE w:val="0"/>
        <w:autoSpaceDN w:val="0"/>
        <w:adjustRightIn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法定代表人或授权代表（签字）：     </w:t>
      </w:r>
    </w:p>
    <w:p>
      <w:pPr>
        <w:spacing w:line="440" w:lineRule="exact"/>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日期：20  年  月   日    </w:t>
      </w: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spacing w:line="440" w:lineRule="exact"/>
        <w:jc w:val="center"/>
        <w:rPr>
          <w:rFonts w:hint="eastAsia" w:ascii="宋体" w:hAnsi="宋体" w:eastAsia="宋体" w:cs="宋体"/>
          <w:color w:val="auto"/>
          <w:sz w:val="32"/>
          <w:szCs w:val="32"/>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ab/>
      </w:r>
    </w:p>
    <w:p>
      <w:pPr>
        <w:spacing w:line="440" w:lineRule="exact"/>
        <w:jc w:val="center"/>
        <w:outlineLvl w:val="1"/>
        <w:rPr>
          <w:rFonts w:hint="eastAsia" w:ascii="宋体" w:hAnsi="宋体" w:eastAsia="宋体" w:cs="宋体"/>
          <w:bCs/>
          <w:color w:val="auto"/>
          <w:highlight w:val="none"/>
        </w:rPr>
      </w:pPr>
      <w:r>
        <w:rPr>
          <w:rFonts w:hint="eastAsia" w:ascii="宋体" w:hAnsi="宋体" w:eastAsia="宋体" w:cs="宋体"/>
          <w:color w:val="auto"/>
          <w:highlight w:val="none"/>
        </w:rPr>
        <w:br w:type="page"/>
      </w:r>
      <w:bookmarkStart w:id="35" w:name="_Toc349721556"/>
      <w:bookmarkStart w:id="36" w:name="_Toc339872470"/>
      <w:bookmarkStart w:id="37" w:name="_Toc303256683"/>
      <w:bookmarkStart w:id="38" w:name="_Toc350327367"/>
      <w:bookmarkStart w:id="39" w:name="_Toc328381294"/>
      <w:bookmarkStart w:id="40" w:name="_Toc297472057"/>
      <w:bookmarkStart w:id="41" w:name="_Toc297472825"/>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、投标响应函</w:t>
      </w:r>
      <w:bookmarkEnd w:id="35"/>
      <w:bookmarkEnd w:id="36"/>
      <w:bookmarkEnd w:id="37"/>
      <w:bookmarkEnd w:id="38"/>
      <w:bookmarkEnd w:id="39"/>
      <w:bookmarkEnd w:id="40"/>
      <w:bookmarkEnd w:id="41"/>
    </w:p>
    <w:p>
      <w:pPr>
        <w:spacing w:line="440" w:lineRule="exact"/>
        <w:rPr>
          <w:rFonts w:hint="eastAsia" w:ascii="宋体" w:hAnsi="宋体" w:eastAsia="宋体" w:cs="宋体"/>
          <w:b/>
          <w:color w:val="auto"/>
          <w:kern w:val="0"/>
          <w:sz w:val="24"/>
          <w:highlight w:val="none"/>
        </w:rPr>
      </w:pPr>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重庆市荣昌区人民医院：</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(投标人全称)授权(全权代表姓名)(职务、职称)为全权代表，参加贵方组织项目（项目编号：  ）采购的有关活动，并对此项目进行投标。全部投标文件，包括</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文件正本一份、副本</w:t>
      </w:r>
      <w:r>
        <w:rPr>
          <w:rFonts w:hint="eastAsia" w:ascii="宋体" w:hAnsi="宋体" w:eastAsia="宋体" w:cs="宋体"/>
          <w:color w:val="auto"/>
          <w:sz w:val="24"/>
          <w:highlight w:val="none"/>
          <w:lang w:val="en-US" w:eastAsia="zh-CN"/>
        </w:rPr>
        <w:t>两</w:t>
      </w:r>
      <w:r>
        <w:rPr>
          <w:rFonts w:hint="eastAsia" w:ascii="宋体" w:hAnsi="宋体" w:eastAsia="宋体" w:cs="宋体"/>
          <w:color w:val="auto"/>
          <w:sz w:val="24"/>
          <w:highlight w:val="none"/>
        </w:rPr>
        <w:t>份，以及其他要求投标人提交的全部文件。</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1、我方承诺已经具备规定的参加采购活动的投标人应当具备的条件：</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（五）参加采购活动前三年内，在经营活动中没有重大违法记录；</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2、本投标有效期自投标文件合格递交之日起</w:t>
      </w:r>
      <w:r>
        <w:rPr>
          <w:rFonts w:hint="eastAsia" w:ascii="宋体" w:hAnsi="宋体" w:eastAsia="宋体" w:cs="宋体"/>
          <w:b/>
          <w:color w:val="auto"/>
          <w:sz w:val="24"/>
          <w:highlight w:val="none"/>
          <w:u w:val="thick"/>
        </w:rPr>
        <w:t xml:space="preserve"> 60日</w:t>
      </w:r>
      <w:r>
        <w:rPr>
          <w:rFonts w:hint="eastAsia" w:ascii="宋体" w:hAnsi="宋体" w:eastAsia="宋体" w:cs="宋体"/>
          <w:color w:val="auto"/>
          <w:sz w:val="24"/>
          <w:highlight w:val="none"/>
        </w:rPr>
        <w:t>。</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3、如我方中标，本投标文件至本项目合同履行完毕止均保持有效，我方将按</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及采购法律、法规的规定履行合同责任和义务。</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4、如果在开标后规定的投标有效期内撤回投标，我方承诺按本项目预算金额的2%赔偿对采购人造成的损失。</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5、我方完全理解贵方不一定要接受</w:t>
      </w:r>
      <w:r>
        <w:rPr>
          <w:rFonts w:hint="eastAsia" w:ascii="宋体" w:hAnsi="宋体" w:cs="宋体"/>
          <w:color w:val="auto"/>
          <w:sz w:val="24"/>
          <w:highlight w:val="none"/>
          <w:lang w:val="en-US" w:eastAsia="zh-CN"/>
        </w:rPr>
        <w:t>报价为</w:t>
      </w:r>
      <w:r>
        <w:rPr>
          <w:rFonts w:hint="eastAsia" w:ascii="宋体" w:hAnsi="宋体" w:eastAsia="宋体" w:cs="宋体"/>
          <w:color w:val="auto"/>
          <w:sz w:val="24"/>
          <w:highlight w:val="none"/>
        </w:rPr>
        <w:t>最低价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但其他条件不满足招标人需求</w:t>
      </w:r>
      <w:r>
        <w:rPr>
          <w:rFonts w:hint="eastAsia" w:ascii="宋体" w:hAnsi="宋体" w:eastAsia="宋体" w:cs="宋体"/>
          <w:color w:val="auto"/>
          <w:sz w:val="24"/>
          <w:highlight w:val="none"/>
        </w:rPr>
        <w:t>的投标。</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6、我方同意按照贵方要求提供与投标有关的一切数据或资料，配合招标采购单位进行评标、验收等与本次采购相关工作。</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7、我方在投标之前已经与贵方进行了充分的沟通，完全理解并接受</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的各项规定和要求，对</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的合理性、合法性不再有异议。并保证遵守采购文件中的有关规定。</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8、我方已详细审查全部</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，包括更正通知（如有的话）以及全部参考资料和有关附件，已经了解我方对于</w:t>
      </w:r>
      <w:r>
        <w:rPr>
          <w:rFonts w:hint="eastAsia" w:ascii="宋体" w:hAnsi="宋体" w:cs="宋体"/>
          <w:color w:val="auto"/>
          <w:sz w:val="24"/>
          <w:highlight w:val="none"/>
          <w:lang w:eastAsia="zh-CN"/>
        </w:rPr>
        <w:t>竞争性比选文件</w:t>
      </w:r>
      <w:r>
        <w:rPr>
          <w:rFonts w:hint="eastAsia" w:ascii="宋体" w:hAnsi="宋体" w:eastAsia="宋体" w:cs="宋体"/>
          <w:color w:val="auto"/>
          <w:sz w:val="24"/>
          <w:highlight w:val="none"/>
        </w:rPr>
        <w:t>、采购过程、采购结果有依法进行询问、质疑、投诉的权利及相关渠道和要求。</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9、我方向贵方提交的所有投标文件、资料都是准确的和真实的。</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将严格遵守规定，供应商有下列情形之一的，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（一）提供虚假材料谋取中标、成交的；</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（二）采取不正当手段诋毁、排挤其他供应商的；</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（三）与采购人、其他供应商或者采购</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恶意串通的；</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（四）向采购人、采购</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行贿或者提供其他不正当利益的；</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（五）在招标采购过程中与采购人进行协商谈判的；</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（六）拒绝有关部门监督检查或者提供虚假情况的。</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供应商有前款第（一）至（五）项情形之一的，中标、成交无效。</w:t>
      </w:r>
    </w:p>
    <w:p>
      <w:pPr>
        <w:adjustRightInd w:val="0"/>
        <w:snapToGrid w:val="0"/>
        <w:spacing w:line="440" w:lineRule="exact"/>
        <w:ind w:firstLine="480" w:firstLineChars="200"/>
        <w:rPr>
          <w:rFonts w:hint="eastAsia" w:ascii="宋体" w:hAnsi="宋体" w:eastAsia="宋体" w:cs="宋体"/>
          <w:color w:val="auto"/>
          <w:sz w:val="24"/>
          <w:highlight w:val="none"/>
        </w:rPr>
      </w:pPr>
    </w:p>
    <w:p>
      <w:pPr>
        <w:autoSpaceDE w:val="0"/>
        <w:autoSpaceDN w:val="0"/>
        <w:adjustRightInd w:val="0"/>
        <w:spacing w:line="44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 xml:space="preserve">法定代表人或授权代表（签字）： </w:t>
      </w:r>
    </w:p>
    <w:p>
      <w:pPr>
        <w:autoSpaceDE w:val="0"/>
        <w:autoSpaceDN w:val="0"/>
        <w:adjustRightInd w:val="0"/>
        <w:spacing w:line="44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 xml:space="preserve">投标人（公章）:  </w:t>
      </w:r>
    </w:p>
    <w:p>
      <w:pPr>
        <w:autoSpaceDE w:val="0"/>
        <w:autoSpaceDN w:val="0"/>
        <w:adjustRightIn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联系人：  邮政编码：</w:t>
      </w:r>
    </w:p>
    <w:p>
      <w:pPr>
        <w:autoSpaceDE w:val="0"/>
        <w:autoSpaceDN w:val="0"/>
        <w:adjustRightIn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联系地址：</w:t>
      </w:r>
    </w:p>
    <w:p>
      <w:pPr>
        <w:autoSpaceDE w:val="0"/>
        <w:autoSpaceDN w:val="0"/>
        <w:adjustRightIn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联系电话: 传真号码：</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日</w:t>
      </w:r>
    </w:p>
    <w:p>
      <w:pPr>
        <w:spacing w:line="44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rPr>
        <w:t>、授权委托书</w:t>
      </w:r>
    </w:p>
    <w:p>
      <w:pPr>
        <w:spacing w:line="440" w:lineRule="exact"/>
        <w:jc w:val="center"/>
        <w:rPr>
          <w:rFonts w:hint="eastAsia" w:ascii="宋体" w:hAnsi="宋体" w:eastAsia="宋体" w:cs="宋体"/>
          <w:b/>
          <w:color w:val="auto"/>
          <w:sz w:val="32"/>
          <w:szCs w:val="32"/>
          <w:highlight w:val="none"/>
        </w:rPr>
      </w:pPr>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重庆市荣昌区人民医院：</w:t>
      </w:r>
    </w:p>
    <w:p>
      <w:pPr>
        <w:spacing w:line="440" w:lineRule="exact"/>
        <w:rPr>
          <w:rFonts w:hint="eastAsia" w:ascii="宋体" w:hAnsi="宋体" w:eastAsia="宋体" w:cs="宋体"/>
          <w:b/>
          <w:color w:val="auto"/>
          <w:sz w:val="24"/>
          <w:highlight w:val="none"/>
        </w:rPr>
      </w:pP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兹委派我公司先生/女士（其在本公司的职务是：</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，手机：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）代表我公司全权处理项目（项目编号：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）的一切事项，若中标则全权代表本公司签订合同，并负责处理合同履行等事宜。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在撤销授权的书面通知以前，本授权书一直有效。授权代表在授权书有效期内签署的所有文件不因授权的撤销而失效。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特此告知。</w:t>
      </w:r>
    </w:p>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                     授权代表（签字）：           </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职务：                                  职务：</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                            身份证号码：</w:t>
      </w:r>
    </w:p>
    <w:p>
      <w:pPr>
        <w:spacing w:line="440" w:lineRule="exact"/>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00" w:lineRule="atLeas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(法定代表人和授权代表的身份证正反面复印件附后)</w:t>
      </w:r>
    </w:p>
    <w:p>
      <w:pPr>
        <w:spacing w:line="440" w:lineRule="exact"/>
        <w:ind w:firstLine="480" w:firstLineChars="200"/>
        <w:rPr>
          <w:rFonts w:hint="eastAsia" w:ascii="宋体" w:hAnsi="宋体" w:eastAsia="宋体" w:cs="宋体"/>
          <w:color w:val="auto"/>
          <w:sz w:val="24"/>
          <w:highlight w:val="none"/>
        </w:rPr>
      </w:pPr>
    </w:p>
    <w:p>
      <w:pPr>
        <w:wordWrap w:val="0"/>
        <w:autoSpaceDE w:val="0"/>
        <w:autoSpaceDN w:val="0"/>
        <w:adjustRightInd w:val="0"/>
        <w:spacing w:line="440" w:lineRule="exact"/>
        <w:ind w:right="480" w:firstLine="5040" w:firstLineChars="2100"/>
        <w:rPr>
          <w:rFonts w:hint="eastAsia" w:ascii="宋体" w:hAnsi="宋体" w:eastAsia="宋体" w:cs="宋体"/>
          <w:color w:val="auto"/>
          <w:kern w:val="0"/>
          <w:sz w:val="24"/>
          <w:highlight w:val="none"/>
          <w:lang w:val="zh-CN"/>
        </w:rPr>
      </w:pPr>
      <w:bookmarkStart w:id="42" w:name="_Toc91899922"/>
      <w:r>
        <w:rPr>
          <w:rFonts w:hint="eastAsia" w:ascii="宋体" w:hAnsi="宋体" w:eastAsia="宋体" w:cs="宋体"/>
          <w:color w:val="auto"/>
          <w:kern w:val="0"/>
          <w:sz w:val="24"/>
          <w:highlight w:val="none"/>
          <w:lang w:val="zh-CN"/>
        </w:rPr>
        <w:t xml:space="preserve">投标人（公章）：     </w:t>
      </w:r>
    </w:p>
    <w:p>
      <w:pPr>
        <w:wordWrap w:val="0"/>
        <w:autoSpaceDE w:val="0"/>
        <w:autoSpaceDN w:val="0"/>
        <w:adjustRightIn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授权委托日期</w:t>
      </w:r>
      <w:r>
        <w:rPr>
          <w:rFonts w:hint="eastAsia" w:ascii="宋体" w:hAnsi="宋体" w:eastAsia="宋体" w:cs="宋体"/>
          <w:color w:val="auto"/>
          <w:kern w:val="0"/>
          <w:sz w:val="24"/>
          <w:highlight w:val="none"/>
          <w:lang w:val="zh-CN"/>
        </w:rPr>
        <w:t xml:space="preserve">：20  年  月   日      </w:t>
      </w:r>
    </w:p>
    <w:p>
      <w:pPr>
        <w:spacing w:line="440" w:lineRule="exact"/>
        <w:jc w:val="center"/>
        <w:outlineLvl w:val="1"/>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br w:type="page"/>
      </w:r>
      <w:r>
        <w:rPr>
          <w:rFonts w:hint="eastAsia" w:ascii="宋体" w:hAnsi="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rPr>
        <w:t>、无失信行为承诺书</w:t>
      </w:r>
    </w:p>
    <w:p>
      <w:pPr>
        <w:spacing w:line="240" w:lineRule="atLeast"/>
        <w:ind w:firstLine="2156" w:firstLineChars="700"/>
        <w:rPr>
          <w:rFonts w:hint="eastAsia" w:ascii="宋体" w:hAnsi="宋体" w:eastAsia="宋体" w:cs="宋体"/>
          <w:color w:val="auto"/>
          <w:spacing w:val="-6"/>
          <w:sz w:val="32"/>
          <w:szCs w:val="32"/>
          <w:highlight w:val="none"/>
        </w:rPr>
      </w:pPr>
    </w:p>
    <w:p>
      <w:pPr>
        <w:spacing w:line="440" w:lineRule="exact"/>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重庆市荣昌区人民医院：</w:t>
      </w:r>
    </w:p>
    <w:p>
      <w:pPr>
        <w:spacing w:line="440" w:lineRule="exact"/>
        <w:rPr>
          <w:rFonts w:hint="eastAsia" w:ascii="宋体" w:hAnsi="宋体" w:eastAsia="宋体" w:cs="宋体"/>
          <w:color w:val="auto"/>
          <w:kern w:val="0"/>
          <w:sz w:val="24"/>
          <w:highlight w:val="none"/>
          <w:lang w:val="zh-CN"/>
        </w:rPr>
      </w:pPr>
    </w:p>
    <w:p>
      <w:pPr>
        <w:spacing w:line="360" w:lineRule="auto"/>
        <w:ind w:firstLine="585"/>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没收投标保证金等有关处理，给采购人造成损失的，依法承担赔偿责任，并愿意承担相关法律责任。</w:t>
      </w:r>
    </w:p>
    <w:p>
      <w:pPr>
        <w:spacing w:line="360" w:lineRule="auto"/>
        <w:ind w:firstLine="585"/>
        <w:rPr>
          <w:rFonts w:hint="eastAsia" w:ascii="宋体" w:hAnsi="宋体" w:eastAsia="宋体" w:cs="宋体"/>
          <w:color w:val="auto"/>
          <w:spacing w:val="-6"/>
          <w:sz w:val="32"/>
          <w:szCs w:val="32"/>
          <w:highlight w:val="none"/>
        </w:rPr>
      </w:pPr>
    </w:p>
    <w:p>
      <w:pPr>
        <w:autoSpaceDE w:val="0"/>
        <w:autoSpaceDN w:val="0"/>
        <w:adjustRightIn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法定代表人（签字或盖章）：</w:t>
      </w:r>
    </w:p>
    <w:p>
      <w:pPr>
        <w:autoSpaceDE w:val="0"/>
        <w:autoSpaceDN w:val="0"/>
        <w:adjustRightIn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投标人（公章）： </w:t>
      </w:r>
    </w:p>
    <w:p>
      <w:pPr>
        <w:wordWrap w:val="0"/>
        <w:autoSpaceDE w:val="0"/>
        <w:autoSpaceDN w:val="0"/>
        <w:adjustRightInd w:val="0"/>
        <w:spacing w:line="440" w:lineRule="exact"/>
        <w:jc w:val="right"/>
        <w:rPr>
          <w:rFonts w:hint="eastAsia" w:ascii="宋体" w:hAnsi="宋体" w:eastAsia="宋体" w:cs="宋体"/>
          <w:color w:val="auto"/>
          <w:kern w:val="0"/>
          <w:sz w:val="24"/>
          <w:highlight w:val="none"/>
          <w:lang w:val="zh-CN"/>
        </w:rPr>
      </w:pPr>
    </w:p>
    <w:p>
      <w:pPr>
        <w:autoSpaceDE w:val="0"/>
        <w:autoSpaceDN w:val="0"/>
        <w:adjustRightInd w:val="0"/>
        <w:spacing w:line="440" w:lineRule="exact"/>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日期：20  年  月   日  </w:t>
      </w:r>
    </w:p>
    <w:p>
      <w:pPr>
        <w:rPr>
          <w:rFonts w:hint="eastAsia" w:ascii="宋体" w:hAnsi="宋体" w:eastAsia="宋体" w:cs="宋体"/>
          <w:color w:val="auto"/>
          <w:highlight w:val="none"/>
        </w:rPr>
      </w:pPr>
    </w:p>
    <w:p>
      <w:pPr>
        <w:spacing w:line="44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w:t>
      </w:r>
      <w:bookmarkEnd w:id="42"/>
      <w:r>
        <w:rPr>
          <w:rFonts w:hint="eastAsia" w:ascii="宋体" w:hAnsi="宋体" w:eastAsia="宋体" w:cs="宋体"/>
          <w:b/>
          <w:color w:val="auto"/>
          <w:kern w:val="0"/>
          <w:sz w:val="32"/>
          <w:szCs w:val="32"/>
          <w:highlight w:val="none"/>
        </w:rPr>
        <w:t>类似项目实施业绩一览表</w:t>
      </w:r>
    </w:p>
    <w:tbl>
      <w:tblPr>
        <w:tblStyle w:val="37"/>
        <w:tblW w:w="97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81"/>
        <w:gridCol w:w="1356"/>
        <w:gridCol w:w="1773"/>
        <w:gridCol w:w="1365"/>
        <w:gridCol w:w="24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470" w:type="dxa"/>
            <w:tcBorders>
              <w:top w:val="double" w:color="auto" w:sz="4" w:space="0"/>
              <w:left w:val="double" w:color="auto" w:sz="4" w:space="0"/>
              <w:bottom w:val="single" w:color="auto" w:sz="4" w:space="0"/>
              <w:right w:val="single" w:color="auto" w:sz="4" w:space="0"/>
            </w:tcBorders>
            <w:shd w:val="clear" w:color="auto" w:fill="FFFF99"/>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项目名称</w:t>
            </w:r>
          </w:p>
        </w:tc>
        <w:tc>
          <w:tcPr>
            <w:tcW w:w="1281" w:type="dxa"/>
            <w:tcBorders>
              <w:top w:val="double" w:color="auto" w:sz="4" w:space="0"/>
              <w:left w:val="single" w:color="auto" w:sz="4" w:space="0"/>
              <w:bottom w:val="single" w:color="auto" w:sz="4" w:space="0"/>
              <w:right w:val="single" w:color="auto" w:sz="4" w:space="0"/>
            </w:tcBorders>
            <w:shd w:val="clear" w:color="auto" w:fill="FFFF99"/>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w:t>
            </w:r>
          </w:p>
          <w:p>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类型</w:t>
            </w:r>
          </w:p>
        </w:tc>
        <w:tc>
          <w:tcPr>
            <w:tcW w:w="1356" w:type="dxa"/>
            <w:tcBorders>
              <w:top w:val="double" w:color="auto" w:sz="4" w:space="0"/>
              <w:left w:val="single" w:color="auto" w:sz="4" w:space="0"/>
              <w:bottom w:val="single" w:color="auto" w:sz="4" w:space="0"/>
              <w:right w:val="single" w:color="auto" w:sz="4" w:space="0"/>
            </w:tcBorders>
            <w:shd w:val="clear" w:color="auto" w:fill="FFFF99"/>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简要描述</w:t>
            </w:r>
          </w:p>
        </w:tc>
        <w:tc>
          <w:tcPr>
            <w:tcW w:w="1773" w:type="dxa"/>
            <w:tcBorders>
              <w:top w:val="double" w:color="auto" w:sz="4" w:space="0"/>
              <w:left w:val="single" w:color="auto" w:sz="4" w:space="0"/>
              <w:bottom w:val="single" w:color="auto" w:sz="4" w:space="0"/>
              <w:right w:val="single" w:color="auto" w:sz="4" w:space="0"/>
            </w:tcBorders>
            <w:shd w:val="clear" w:color="auto" w:fill="FFFF99"/>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项目金额</w:t>
            </w:r>
          </w:p>
          <w:p>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（万元）</w:t>
            </w:r>
          </w:p>
        </w:tc>
        <w:tc>
          <w:tcPr>
            <w:tcW w:w="1365" w:type="dxa"/>
            <w:tcBorders>
              <w:top w:val="double" w:color="auto" w:sz="4" w:space="0"/>
              <w:left w:val="single" w:color="auto" w:sz="4" w:space="0"/>
              <w:bottom w:val="single" w:color="auto" w:sz="4" w:space="0"/>
              <w:right w:val="single" w:color="auto" w:sz="4" w:space="0"/>
            </w:tcBorders>
            <w:shd w:val="clear" w:color="auto" w:fill="FFFF99"/>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合同签订时间</w:t>
            </w:r>
          </w:p>
        </w:tc>
        <w:tc>
          <w:tcPr>
            <w:tcW w:w="2475" w:type="dxa"/>
            <w:tcBorders>
              <w:top w:val="double" w:color="auto" w:sz="4" w:space="0"/>
              <w:left w:val="single" w:color="auto" w:sz="4" w:space="0"/>
              <w:bottom w:val="single" w:color="auto" w:sz="4" w:space="0"/>
              <w:right w:val="double" w:color="auto" w:sz="4" w:space="0"/>
            </w:tcBorders>
            <w:shd w:val="clear" w:color="auto" w:fill="FFFF99"/>
            <w:vAlign w:val="center"/>
          </w:tcPr>
          <w:p>
            <w:pPr>
              <w:widowControl/>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项目单位</w:t>
            </w:r>
          </w:p>
          <w:p>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doub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281" w:type="dxa"/>
            <w:tcBorders>
              <w:top w:val="single" w:color="auto" w:sz="4" w:space="0"/>
              <w:left w:val="single" w:color="auto" w:sz="4" w:space="0"/>
              <w:bottom w:val="doub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56" w:type="dxa"/>
            <w:tcBorders>
              <w:top w:val="single" w:color="auto" w:sz="4" w:space="0"/>
              <w:left w:val="single" w:color="auto" w:sz="4" w:space="0"/>
              <w:bottom w:val="doub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773" w:type="dxa"/>
            <w:tcBorders>
              <w:top w:val="single" w:color="auto" w:sz="4" w:space="0"/>
              <w:left w:val="single" w:color="auto" w:sz="4" w:space="0"/>
              <w:bottom w:val="doub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65" w:type="dxa"/>
            <w:tcBorders>
              <w:top w:val="single" w:color="auto" w:sz="4" w:space="0"/>
              <w:left w:val="single" w:color="auto" w:sz="4" w:space="0"/>
              <w:bottom w:val="doub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475" w:type="dxa"/>
            <w:tcBorders>
              <w:top w:val="single" w:color="auto" w:sz="4" w:space="0"/>
              <w:left w:val="single" w:color="auto" w:sz="4" w:space="0"/>
              <w:bottom w:val="double" w:color="auto" w:sz="4" w:space="0"/>
              <w:right w:val="double" w:color="auto" w:sz="4" w:space="0"/>
            </w:tcBorders>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bl>
    <w:p>
      <w:pPr>
        <w:pStyle w:val="59"/>
        <w:spacing w:before="0" w:line="440" w:lineRule="exact"/>
        <w:ind w:firstLine="602" w:firstLineChars="250"/>
        <w:rPr>
          <w:rFonts w:hint="eastAsia" w:ascii="宋体" w:hAnsi="宋体" w:eastAsia="宋体" w:cs="宋体"/>
          <w:color w:val="auto"/>
          <w:szCs w:val="24"/>
          <w:highlight w:val="none"/>
        </w:rPr>
      </w:pPr>
      <w:r>
        <w:rPr>
          <w:rFonts w:hint="eastAsia" w:ascii="宋体" w:hAnsi="宋体" w:eastAsia="宋体" w:cs="宋体"/>
          <w:b/>
          <w:color w:val="auto"/>
          <w:highlight w:val="none"/>
        </w:rPr>
        <w:t>备注：</w:t>
      </w:r>
      <w:r>
        <w:rPr>
          <w:rFonts w:hint="eastAsia" w:ascii="宋体" w:hAnsi="宋体" w:eastAsia="宋体" w:cs="宋体"/>
          <w:color w:val="auto"/>
          <w:szCs w:val="24"/>
          <w:highlight w:val="none"/>
        </w:rPr>
        <w:t>以合同签订时间为准，须提供合同复印件加盖公章。</w:t>
      </w:r>
    </w:p>
    <w:p>
      <w:pPr>
        <w:pStyle w:val="59"/>
        <w:spacing w:before="0" w:line="440" w:lineRule="exact"/>
        <w:ind w:firstLine="600" w:firstLineChars="250"/>
        <w:rPr>
          <w:rFonts w:hint="eastAsia" w:ascii="宋体" w:hAnsi="宋体" w:eastAsia="宋体" w:cs="宋体"/>
          <w:color w:val="auto"/>
          <w:highlight w:val="none"/>
        </w:rPr>
      </w:pPr>
    </w:p>
    <w:p>
      <w:pPr>
        <w:wordWrap w:val="0"/>
        <w:autoSpaceDE w:val="0"/>
        <w:autoSpaceDN w:val="0"/>
        <w:adjustRightIn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法定代表人或授权代表（签字）：     </w:t>
      </w:r>
    </w:p>
    <w:p>
      <w:pPr>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日期：20  年  月   日      </w:t>
      </w:r>
    </w:p>
    <w:p>
      <w:pPr>
        <w:spacing w:line="440" w:lineRule="exact"/>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color w:val="auto"/>
          <w:kern w:val="0"/>
          <w:sz w:val="32"/>
          <w:szCs w:val="32"/>
          <w:highlight w:val="none"/>
        </w:rPr>
        <w:t>十、投标文件外层包装封面（格式供参考）</w:t>
      </w:r>
    </w:p>
    <w:p>
      <w:pPr>
        <w:rPr>
          <w:rFonts w:hint="eastAsia" w:ascii="宋体" w:hAnsi="宋体" w:eastAsia="宋体" w:cs="宋体"/>
          <w:b/>
          <w:color w:val="auto"/>
          <w:sz w:val="30"/>
          <w:szCs w:val="30"/>
          <w:highlight w:val="none"/>
        </w:rPr>
      </w:pPr>
      <w:bookmarkStart w:id="43" w:name="_Toc297472064"/>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1、</w:t>
      </w:r>
      <w:r>
        <w:rPr>
          <w:rFonts w:hint="eastAsia" w:ascii="宋体" w:hAnsi="宋体" w:eastAsia="宋体" w:cs="宋体"/>
          <w:b/>
          <w:color w:val="auto"/>
          <w:sz w:val="30"/>
          <w:szCs w:val="30"/>
          <w:highlight w:val="none"/>
          <w:lang w:val="en-US" w:eastAsia="zh-CN"/>
        </w:rPr>
        <w:t>投标</w:t>
      </w:r>
      <w:r>
        <w:rPr>
          <w:rFonts w:hint="eastAsia" w:ascii="宋体" w:hAnsi="宋体" w:eastAsia="宋体" w:cs="宋体"/>
          <w:b/>
          <w:color w:val="auto"/>
          <w:sz w:val="30"/>
          <w:szCs w:val="30"/>
          <w:highlight w:val="none"/>
        </w:rPr>
        <w:t>文件外层包装封面</w:t>
      </w:r>
    </w:p>
    <w:p>
      <w:pPr>
        <w:jc w:val="center"/>
        <w:rPr>
          <w:rFonts w:hint="eastAsia" w:ascii="宋体" w:hAnsi="宋体" w:eastAsia="宋体" w:cs="宋体"/>
          <w:b/>
          <w:color w:val="auto"/>
          <w:sz w:val="30"/>
          <w:szCs w:val="30"/>
          <w:highlight w:val="none"/>
          <w:lang w:val="en-US" w:eastAsia="zh-CN"/>
        </w:rPr>
      </w:pPr>
      <w:bookmarkStart w:id="44" w:name="_Toc297472068"/>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投标</w:t>
      </w:r>
      <w:r>
        <w:rPr>
          <w:rFonts w:hint="eastAsia" w:ascii="宋体" w:hAnsi="宋体" w:eastAsia="宋体" w:cs="宋体"/>
          <w:b/>
          <w:color w:val="auto"/>
          <w:sz w:val="30"/>
          <w:szCs w:val="30"/>
          <w:highlight w:val="none"/>
        </w:rPr>
        <w:t>文件</w:t>
      </w:r>
      <w:bookmarkEnd w:id="44"/>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w:t>
      </w: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投标人名称（盖章）：</w:t>
      </w: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在    年    月     日     时     分之前不得启封</w:t>
      </w: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bookmarkEnd w:id="43"/>
    <w:p>
      <w:pPr>
        <w:autoSpaceDE w:val="0"/>
        <w:autoSpaceDN w:val="0"/>
        <w:adjustRightInd w:val="0"/>
        <w:spacing w:line="360" w:lineRule="auto"/>
        <w:rPr>
          <w:rFonts w:hint="eastAsia" w:ascii="宋体" w:hAnsi="宋体" w:eastAsia="宋体" w:cs="宋体"/>
          <w:b/>
          <w:color w:val="auto"/>
          <w:sz w:val="32"/>
          <w:szCs w:val="32"/>
          <w:highlight w:val="none"/>
        </w:rPr>
      </w:pPr>
    </w:p>
    <w:p>
      <w:pPr>
        <w:autoSpaceDE w:val="0"/>
        <w:autoSpaceDN w:val="0"/>
        <w:adjustRightInd w:val="0"/>
        <w:spacing w:line="360" w:lineRule="auto"/>
        <w:rPr>
          <w:rFonts w:hint="eastAsia" w:ascii="宋体" w:hAnsi="宋体" w:eastAsia="宋体" w:cs="宋体"/>
          <w:b/>
          <w:color w:val="auto"/>
          <w:sz w:val="32"/>
          <w:szCs w:val="3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sectPr>
      <w:pgSz w:w="11907" w:h="16840"/>
      <w:pgMar w:top="1304" w:right="1565" w:bottom="1247" w:left="134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长城仿宋">
    <w:altName w:val="仿宋"/>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026795" cy="147955"/>
              <wp:effectExtent l="0" t="0" r="0" b="0"/>
              <wp:wrapNone/>
              <wp:docPr id="1" name="Quad Arrow 2"/>
              <wp:cNvGraphicFramePr/>
              <a:graphic xmlns:a="http://schemas.openxmlformats.org/drawingml/2006/main">
                <a:graphicData uri="http://schemas.microsoft.com/office/word/2010/wordprocessingShape">
                  <wps:wsp>
                    <wps:cNvSpPr txBox="1"/>
                    <wps:spPr>
                      <a:xfrm>
                        <a:off x="0" y="0"/>
                        <a:ext cx="1026795" cy="147955"/>
                      </a:xfrm>
                      <a:prstGeom prst="rect">
                        <a:avLst/>
                      </a:prstGeom>
                      <a:noFill/>
                      <a:ln>
                        <a:noFill/>
                      </a:ln>
                    </wps:spPr>
                    <wps:txbx>
                      <w:txbxContent>
                        <w:p>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r>
                            <w:rPr>
                              <w:rFonts w:hint="eastAsia"/>
                              <w:sz w:val="18"/>
                            </w:rPr>
                            <w:t xml:space="preserve"> 页</w:t>
                          </w:r>
                        </w:p>
                      </w:txbxContent>
                    </wps:txbx>
                    <wps:bodyPr lIns="0" tIns="0" rIns="0" bIns="0" upright="1"/>
                  </wps:wsp>
                </a:graphicData>
              </a:graphic>
            </wp:anchor>
          </w:drawing>
        </mc:Choice>
        <mc:Fallback>
          <w:pict>
            <v:shape id="Quad Arrow 2" o:spid="_x0000_s1026" o:spt="202" type="#_x0000_t202" style="position:absolute;left:0pt;margin-top:0.05pt;height:11.65pt;width:80.85pt;mso-position-horizontal:center;mso-position-horizontal-relative:margin;z-index:251659264;mso-width-relative:page;mso-height-relative:page;" filled="f" stroked="f" coordsize="21600,21600" o:gfxdata="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n9gIj1AAAAAQB&#10;AAAPAAAAAAAAAAEAIAAAACIAAABkcnMvZG93bnJldi54bWxQSwECFAAUAAAACACHTuJAVvFAmq0B&#10;AABzAwAADgAAAAAAAAABACAAAAAjAQAAZHJzL2Uyb0RvYy54bWxQSwUGAAAAAAYABgBZAQAAQgUA&#10;AAAA&#10;">
              <v:fill on="f" focussize="0,0"/>
              <v:stroke on="f"/>
              <v:imagedata o:title=""/>
              <o:lock v:ext="edit" aspectratio="f"/>
              <v:textbox inset="0mm,0mm,0mm,0mm">
                <w:txbxContent>
                  <w:p>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026795" cy="147955"/>
              <wp:effectExtent l="0" t="0" r="0" b="0"/>
              <wp:wrapNone/>
              <wp:docPr id="2" name="Quad Arrow 2"/>
              <wp:cNvGraphicFramePr/>
              <a:graphic xmlns:a="http://schemas.openxmlformats.org/drawingml/2006/main">
                <a:graphicData uri="http://schemas.microsoft.com/office/word/2010/wordprocessingShape">
                  <wps:wsp>
                    <wps:cNvSpPr txBox="1"/>
                    <wps:spPr>
                      <a:xfrm>
                        <a:off x="0" y="0"/>
                        <a:ext cx="1026795" cy="147955"/>
                      </a:xfrm>
                      <a:prstGeom prst="rect">
                        <a:avLst/>
                      </a:prstGeom>
                      <a:noFill/>
                      <a:ln>
                        <a:noFill/>
                      </a:ln>
                    </wps:spPr>
                    <wps:txbx>
                      <w:txbxContent>
                        <w:p>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r>
                            <w:rPr>
                              <w:rFonts w:hint="eastAsia"/>
                              <w:sz w:val="18"/>
                            </w:rPr>
                            <w:t xml:space="preserve"> 页</w:t>
                          </w:r>
                        </w:p>
                      </w:txbxContent>
                    </wps:txbx>
                    <wps:bodyPr lIns="0" tIns="0" rIns="0" bIns="0" upright="1"/>
                  </wps:wsp>
                </a:graphicData>
              </a:graphic>
            </wp:anchor>
          </w:drawing>
        </mc:Choice>
        <mc:Fallback>
          <w:pict>
            <v:shape id="Quad Arrow 2" o:spid="_x0000_s1026" o:spt="202" type="#_x0000_t202" style="position:absolute;left:0pt;margin-top:0.05pt;height:11.65pt;width:80.85pt;mso-position-horizontal:center;mso-position-horizontal-relative:margin;z-index:251660288;mso-width-relative:page;mso-height-relative:page;" filled="f" stroked="f" coordsize="21600,21600" o:gfxdata="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n9gIj1AAAAAQB&#10;AAAPAAAAAAAAAAEAIAAAACIAAABkcnMvZG93bnJldi54bWxQSwECFAAUAAAACACHTuJACUBrta0B&#10;AABzAwAADgAAAAAAAAABACAAAAAjAQAAZHJzL2Uyb0RvYy54bWxQSwUGAAAAAAYABgBZAQAAQgUA&#10;AAAA&#10;">
              <v:fill on="f" focussize="0,0"/>
              <v:stroke on="f"/>
              <v:imagedata o:title=""/>
              <o:lock v:ext="edit" aspectratio="f"/>
              <v:textbox inset="0mm,0mm,0mm,0mm">
                <w:txbxContent>
                  <w:p>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39054"/>
    <w:multiLevelType w:val="singleLevel"/>
    <w:tmpl w:val="AB539054"/>
    <w:lvl w:ilvl="0" w:tentative="0">
      <w:start w:val="11"/>
      <w:numFmt w:val="chineseCounting"/>
      <w:suff w:val="nothing"/>
      <w:lvlText w:val="%1、"/>
      <w:lvlJc w:val="left"/>
      <w:rPr>
        <w:rFonts w:hint="eastAsia"/>
      </w:rPr>
    </w:lvl>
  </w:abstractNum>
  <w:abstractNum w:abstractNumId="1">
    <w:nsid w:val="DE0E6F71"/>
    <w:multiLevelType w:val="singleLevel"/>
    <w:tmpl w:val="DE0E6F71"/>
    <w:lvl w:ilvl="0" w:tentative="0">
      <w:start w:val="1"/>
      <w:numFmt w:val="chineseCounting"/>
      <w:suff w:val="nothing"/>
      <w:lvlText w:val="%1、"/>
      <w:lvlJc w:val="left"/>
      <w:rPr>
        <w:rFonts w:hint="eastAsia"/>
      </w:rPr>
    </w:lvl>
  </w:abstractNum>
  <w:abstractNum w:abstractNumId="2">
    <w:nsid w:val="EE9597F6"/>
    <w:multiLevelType w:val="singleLevel"/>
    <w:tmpl w:val="EE9597F6"/>
    <w:lvl w:ilvl="0" w:tentative="0">
      <w:start w:val="1"/>
      <w:numFmt w:val="decimal"/>
      <w:suff w:val="nothing"/>
      <w:lvlText w:val="%1）"/>
      <w:lvlJc w:val="left"/>
    </w:lvl>
  </w:abstractNum>
  <w:abstractNum w:abstractNumId="3">
    <w:nsid w:val="00000000"/>
    <w:multiLevelType w:val="singleLevel"/>
    <w:tmpl w:val="00000000"/>
    <w:lvl w:ilvl="0" w:tentative="0">
      <w:start w:val="2"/>
      <w:numFmt w:val="decimal"/>
      <w:lvlText w:val="%1."/>
      <w:lvlJc w:val="left"/>
      <w:pPr>
        <w:tabs>
          <w:tab w:val="left" w:pos="312"/>
        </w:tabs>
      </w:pPr>
    </w:lvl>
  </w:abstractNum>
  <w:abstractNum w:abstractNumId="4">
    <w:nsid w:val="346C5CA9"/>
    <w:multiLevelType w:val="multilevel"/>
    <w:tmpl w:val="346C5CA9"/>
    <w:lvl w:ilvl="0" w:tentative="0">
      <w:start w:val="1"/>
      <w:numFmt w:val="bullet"/>
      <w:pStyle w:val="94"/>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5">
    <w:nsid w:val="3BD282A0"/>
    <w:multiLevelType w:val="singleLevel"/>
    <w:tmpl w:val="3BD282A0"/>
    <w:lvl w:ilvl="0" w:tentative="0">
      <w:start w:val="3"/>
      <w:numFmt w:val="chineseCounting"/>
      <w:suff w:val="space"/>
      <w:lvlText w:val="第%1部分"/>
      <w:lvlJc w:val="left"/>
      <w:rPr>
        <w:rFonts w:hint="eastAsia"/>
      </w:rPr>
    </w:lvl>
  </w:abstractNum>
  <w:abstractNum w:abstractNumId="6">
    <w:nsid w:val="44F23151"/>
    <w:multiLevelType w:val="multilevel"/>
    <w:tmpl w:val="44F23151"/>
    <w:lvl w:ilvl="0" w:tentative="0">
      <w:start w:val="2"/>
      <w:numFmt w:val="japaneseCounting"/>
      <w:lvlText w:val="第%1节"/>
      <w:lvlJc w:val="left"/>
      <w:pPr>
        <w:tabs>
          <w:tab w:val="left" w:pos="1176"/>
        </w:tabs>
        <w:ind w:left="1176" w:hanging="1080"/>
      </w:pPr>
      <w:rPr>
        <w:rFonts w:hint="default"/>
      </w:rPr>
    </w:lvl>
    <w:lvl w:ilvl="1" w:tentative="0">
      <w:start w:val="1"/>
      <w:numFmt w:val="lowerLetter"/>
      <w:lvlText w:val="%2)"/>
      <w:lvlJc w:val="left"/>
      <w:pPr>
        <w:tabs>
          <w:tab w:val="left" w:pos="936"/>
        </w:tabs>
        <w:ind w:left="936" w:hanging="420"/>
      </w:pPr>
    </w:lvl>
    <w:lvl w:ilvl="2" w:tentative="0">
      <w:start w:val="1"/>
      <w:numFmt w:val="lowerRoman"/>
      <w:lvlText w:val="%3."/>
      <w:lvlJc w:val="right"/>
      <w:pPr>
        <w:tabs>
          <w:tab w:val="left" w:pos="1356"/>
        </w:tabs>
        <w:ind w:left="1356" w:hanging="420"/>
      </w:pPr>
    </w:lvl>
    <w:lvl w:ilvl="3" w:tentative="0">
      <w:start w:val="1"/>
      <w:numFmt w:val="decimal"/>
      <w:lvlText w:val="%4."/>
      <w:lvlJc w:val="left"/>
      <w:pPr>
        <w:tabs>
          <w:tab w:val="left" w:pos="1776"/>
        </w:tabs>
        <w:ind w:left="1776" w:hanging="420"/>
      </w:pPr>
    </w:lvl>
    <w:lvl w:ilvl="4" w:tentative="0">
      <w:start w:val="1"/>
      <w:numFmt w:val="lowerLetter"/>
      <w:lvlText w:val="%5)"/>
      <w:lvlJc w:val="left"/>
      <w:pPr>
        <w:tabs>
          <w:tab w:val="left" w:pos="2196"/>
        </w:tabs>
        <w:ind w:left="2196" w:hanging="420"/>
      </w:pPr>
    </w:lvl>
    <w:lvl w:ilvl="5" w:tentative="0">
      <w:start w:val="1"/>
      <w:numFmt w:val="lowerRoman"/>
      <w:lvlText w:val="%6."/>
      <w:lvlJc w:val="right"/>
      <w:pPr>
        <w:tabs>
          <w:tab w:val="left" w:pos="2616"/>
        </w:tabs>
        <w:ind w:left="2616" w:hanging="420"/>
      </w:pPr>
    </w:lvl>
    <w:lvl w:ilvl="6" w:tentative="0">
      <w:start w:val="1"/>
      <w:numFmt w:val="decimal"/>
      <w:lvlText w:val="%7."/>
      <w:lvlJc w:val="left"/>
      <w:pPr>
        <w:tabs>
          <w:tab w:val="left" w:pos="3036"/>
        </w:tabs>
        <w:ind w:left="3036" w:hanging="420"/>
      </w:pPr>
    </w:lvl>
    <w:lvl w:ilvl="7" w:tentative="0">
      <w:start w:val="1"/>
      <w:numFmt w:val="lowerLetter"/>
      <w:lvlText w:val="%8)"/>
      <w:lvlJc w:val="left"/>
      <w:pPr>
        <w:tabs>
          <w:tab w:val="left" w:pos="3456"/>
        </w:tabs>
        <w:ind w:left="3456" w:hanging="420"/>
      </w:pPr>
    </w:lvl>
    <w:lvl w:ilvl="8" w:tentative="0">
      <w:start w:val="1"/>
      <w:numFmt w:val="lowerRoman"/>
      <w:lvlText w:val="%9."/>
      <w:lvlJc w:val="right"/>
      <w:pPr>
        <w:tabs>
          <w:tab w:val="left" w:pos="3876"/>
        </w:tabs>
        <w:ind w:left="3876" w:hanging="420"/>
      </w:pPr>
    </w:lvl>
  </w:abstractNum>
  <w:abstractNum w:abstractNumId="7">
    <w:nsid w:val="61027DAC"/>
    <w:multiLevelType w:val="singleLevel"/>
    <w:tmpl w:val="61027DAC"/>
    <w:lvl w:ilvl="0" w:tentative="0">
      <w:start w:val="1"/>
      <w:numFmt w:val="chineseCounting"/>
      <w:suff w:val="nothing"/>
      <w:lvlText w:val="%1、"/>
      <w:lvlJc w:val="left"/>
    </w:lvl>
  </w:abstractNum>
  <w:abstractNum w:abstractNumId="8">
    <w:nsid w:val="6DDE1299"/>
    <w:multiLevelType w:val="singleLevel"/>
    <w:tmpl w:val="6DDE1299"/>
    <w:lvl w:ilvl="0" w:tentative="0">
      <w:start w:val="9"/>
      <w:numFmt w:val="decimal"/>
      <w:lvlText w:val="%1."/>
      <w:lvlJc w:val="left"/>
      <w:pPr>
        <w:tabs>
          <w:tab w:val="left" w:pos="312"/>
        </w:tabs>
      </w:p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zA0OTRhM2VhMDQ4ODI1MTRmYjEzODRmOTA0ZWUifQ=="/>
  </w:docVars>
  <w:rsids>
    <w:rsidRoot w:val="0015201A"/>
    <w:rsid w:val="000009D0"/>
    <w:rsid w:val="00002195"/>
    <w:rsid w:val="00003DAF"/>
    <w:rsid w:val="00010455"/>
    <w:rsid w:val="000130E9"/>
    <w:rsid w:val="000225EE"/>
    <w:rsid w:val="0002334E"/>
    <w:rsid w:val="00024814"/>
    <w:rsid w:val="00027E47"/>
    <w:rsid w:val="00034E84"/>
    <w:rsid w:val="000356EC"/>
    <w:rsid w:val="00045449"/>
    <w:rsid w:val="00045C89"/>
    <w:rsid w:val="000527B0"/>
    <w:rsid w:val="0005331D"/>
    <w:rsid w:val="0005621C"/>
    <w:rsid w:val="00056DA8"/>
    <w:rsid w:val="00060E78"/>
    <w:rsid w:val="000631A8"/>
    <w:rsid w:val="00063E0B"/>
    <w:rsid w:val="000710C3"/>
    <w:rsid w:val="00072987"/>
    <w:rsid w:val="000735D3"/>
    <w:rsid w:val="00073621"/>
    <w:rsid w:val="0008136F"/>
    <w:rsid w:val="0008246C"/>
    <w:rsid w:val="00085808"/>
    <w:rsid w:val="000872EE"/>
    <w:rsid w:val="00087C38"/>
    <w:rsid w:val="00090240"/>
    <w:rsid w:val="00094F7C"/>
    <w:rsid w:val="000A100F"/>
    <w:rsid w:val="000A371E"/>
    <w:rsid w:val="000B0277"/>
    <w:rsid w:val="000B2FF2"/>
    <w:rsid w:val="000D2AD0"/>
    <w:rsid w:val="000D3350"/>
    <w:rsid w:val="000D3C09"/>
    <w:rsid w:val="000D7D32"/>
    <w:rsid w:val="000E1E67"/>
    <w:rsid w:val="000E59A7"/>
    <w:rsid w:val="000E64D6"/>
    <w:rsid w:val="000F1307"/>
    <w:rsid w:val="000F6600"/>
    <w:rsid w:val="0010210F"/>
    <w:rsid w:val="0010247A"/>
    <w:rsid w:val="00105C50"/>
    <w:rsid w:val="00111894"/>
    <w:rsid w:val="00111AB4"/>
    <w:rsid w:val="001135EC"/>
    <w:rsid w:val="00116619"/>
    <w:rsid w:val="001204C6"/>
    <w:rsid w:val="001209CF"/>
    <w:rsid w:val="00121FD0"/>
    <w:rsid w:val="00122E2D"/>
    <w:rsid w:val="00122E39"/>
    <w:rsid w:val="001241EC"/>
    <w:rsid w:val="00125133"/>
    <w:rsid w:val="00133130"/>
    <w:rsid w:val="001333F5"/>
    <w:rsid w:val="0013566A"/>
    <w:rsid w:val="00141C44"/>
    <w:rsid w:val="00151B7F"/>
    <w:rsid w:val="0015201A"/>
    <w:rsid w:val="0016490D"/>
    <w:rsid w:val="001659AA"/>
    <w:rsid w:val="0017063F"/>
    <w:rsid w:val="00172C38"/>
    <w:rsid w:val="00176CF6"/>
    <w:rsid w:val="001772B6"/>
    <w:rsid w:val="0018215A"/>
    <w:rsid w:val="00183779"/>
    <w:rsid w:val="00184BCE"/>
    <w:rsid w:val="00187B04"/>
    <w:rsid w:val="0019160B"/>
    <w:rsid w:val="00191799"/>
    <w:rsid w:val="001932B2"/>
    <w:rsid w:val="001978FD"/>
    <w:rsid w:val="001A24ED"/>
    <w:rsid w:val="001A6F0F"/>
    <w:rsid w:val="001B4582"/>
    <w:rsid w:val="001C201D"/>
    <w:rsid w:val="001C3AD6"/>
    <w:rsid w:val="001C534E"/>
    <w:rsid w:val="001C54EF"/>
    <w:rsid w:val="001D07B7"/>
    <w:rsid w:val="001D2279"/>
    <w:rsid w:val="001D3B62"/>
    <w:rsid w:val="001D515E"/>
    <w:rsid w:val="001D5CA3"/>
    <w:rsid w:val="001D71B1"/>
    <w:rsid w:val="001E7B8F"/>
    <w:rsid w:val="001F425C"/>
    <w:rsid w:val="00202CC1"/>
    <w:rsid w:val="00203BAD"/>
    <w:rsid w:val="00206C0C"/>
    <w:rsid w:val="00207AA8"/>
    <w:rsid w:val="00210050"/>
    <w:rsid w:val="00212DE2"/>
    <w:rsid w:val="00224549"/>
    <w:rsid w:val="00226572"/>
    <w:rsid w:val="002314E2"/>
    <w:rsid w:val="00231F49"/>
    <w:rsid w:val="00233FDA"/>
    <w:rsid w:val="00235263"/>
    <w:rsid w:val="00235293"/>
    <w:rsid w:val="002404E4"/>
    <w:rsid w:val="002412B1"/>
    <w:rsid w:val="002451CA"/>
    <w:rsid w:val="00246BEF"/>
    <w:rsid w:val="00246D3C"/>
    <w:rsid w:val="00247B56"/>
    <w:rsid w:val="0025204A"/>
    <w:rsid w:val="002521DA"/>
    <w:rsid w:val="00263F8C"/>
    <w:rsid w:val="00270BE1"/>
    <w:rsid w:val="00273CBE"/>
    <w:rsid w:val="00280332"/>
    <w:rsid w:val="00280C0E"/>
    <w:rsid w:val="0028120E"/>
    <w:rsid w:val="00284015"/>
    <w:rsid w:val="00286448"/>
    <w:rsid w:val="0029547C"/>
    <w:rsid w:val="002A071A"/>
    <w:rsid w:val="002A74F6"/>
    <w:rsid w:val="002B0137"/>
    <w:rsid w:val="002B17F2"/>
    <w:rsid w:val="002B44B6"/>
    <w:rsid w:val="002B4594"/>
    <w:rsid w:val="002B4D5D"/>
    <w:rsid w:val="002B580A"/>
    <w:rsid w:val="002C2D5E"/>
    <w:rsid w:val="002C459B"/>
    <w:rsid w:val="002C5484"/>
    <w:rsid w:val="002C65CC"/>
    <w:rsid w:val="002C6A48"/>
    <w:rsid w:val="002C724D"/>
    <w:rsid w:val="002D0FBB"/>
    <w:rsid w:val="002D5579"/>
    <w:rsid w:val="002D5E43"/>
    <w:rsid w:val="002E3003"/>
    <w:rsid w:val="002E3E6C"/>
    <w:rsid w:val="002E41AC"/>
    <w:rsid w:val="002E62D9"/>
    <w:rsid w:val="002F1467"/>
    <w:rsid w:val="002F3849"/>
    <w:rsid w:val="002F3DFE"/>
    <w:rsid w:val="002F4D7A"/>
    <w:rsid w:val="00300AEB"/>
    <w:rsid w:val="00302080"/>
    <w:rsid w:val="00307FB5"/>
    <w:rsid w:val="00321572"/>
    <w:rsid w:val="003218A8"/>
    <w:rsid w:val="003248C0"/>
    <w:rsid w:val="0032714D"/>
    <w:rsid w:val="00332B3F"/>
    <w:rsid w:val="00336772"/>
    <w:rsid w:val="0034086D"/>
    <w:rsid w:val="00347548"/>
    <w:rsid w:val="00350273"/>
    <w:rsid w:val="00351F32"/>
    <w:rsid w:val="003562B2"/>
    <w:rsid w:val="00356BEA"/>
    <w:rsid w:val="003613A6"/>
    <w:rsid w:val="0036570F"/>
    <w:rsid w:val="00367B76"/>
    <w:rsid w:val="00370712"/>
    <w:rsid w:val="003726D5"/>
    <w:rsid w:val="00372D0F"/>
    <w:rsid w:val="00375432"/>
    <w:rsid w:val="003777AB"/>
    <w:rsid w:val="00386EC4"/>
    <w:rsid w:val="00397672"/>
    <w:rsid w:val="003A0E23"/>
    <w:rsid w:val="003A4750"/>
    <w:rsid w:val="003A74C6"/>
    <w:rsid w:val="003A7912"/>
    <w:rsid w:val="003A798F"/>
    <w:rsid w:val="003B0664"/>
    <w:rsid w:val="003C09F9"/>
    <w:rsid w:val="003C2B57"/>
    <w:rsid w:val="003C352D"/>
    <w:rsid w:val="003C511A"/>
    <w:rsid w:val="003D201D"/>
    <w:rsid w:val="003D5589"/>
    <w:rsid w:val="003E147C"/>
    <w:rsid w:val="003E1A30"/>
    <w:rsid w:val="003E5553"/>
    <w:rsid w:val="003F4D08"/>
    <w:rsid w:val="003F57A3"/>
    <w:rsid w:val="003F6D1E"/>
    <w:rsid w:val="004002A6"/>
    <w:rsid w:val="004010AE"/>
    <w:rsid w:val="00406FAA"/>
    <w:rsid w:val="0041636E"/>
    <w:rsid w:val="004174B4"/>
    <w:rsid w:val="0042018D"/>
    <w:rsid w:val="00420F0A"/>
    <w:rsid w:val="00422B1F"/>
    <w:rsid w:val="00424B2D"/>
    <w:rsid w:val="00431CB8"/>
    <w:rsid w:val="00446CA7"/>
    <w:rsid w:val="00453956"/>
    <w:rsid w:val="00454758"/>
    <w:rsid w:val="0045792D"/>
    <w:rsid w:val="00461ACE"/>
    <w:rsid w:val="004661CA"/>
    <w:rsid w:val="00466B34"/>
    <w:rsid w:val="004677DD"/>
    <w:rsid w:val="004724A1"/>
    <w:rsid w:val="00475F99"/>
    <w:rsid w:val="004770AA"/>
    <w:rsid w:val="00477C06"/>
    <w:rsid w:val="004805B9"/>
    <w:rsid w:val="004817DC"/>
    <w:rsid w:val="00486712"/>
    <w:rsid w:val="00491FB7"/>
    <w:rsid w:val="00492EFC"/>
    <w:rsid w:val="00496008"/>
    <w:rsid w:val="00496063"/>
    <w:rsid w:val="004A2BFF"/>
    <w:rsid w:val="004A4945"/>
    <w:rsid w:val="004A7F6D"/>
    <w:rsid w:val="004B106A"/>
    <w:rsid w:val="004B44BC"/>
    <w:rsid w:val="004C1925"/>
    <w:rsid w:val="004C4698"/>
    <w:rsid w:val="004D7D3E"/>
    <w:rsid w:val="004E3B45"/>
    <w:rsid w:val="004E57CD"/>
    <w:rsid w:val="004E695C"/>
    <w:rsid w:val="004E6F7E"/>
    <w:rsid w:val="004E77CF"/>
    <w:rsid w:val="004F1262"/>
    <w:rsid w:val="004F7B45"/>
    <w:rsid w:val="00500906"/>
    <w:rsid w:val="0050120D"/>
    <w:rsid w:val="00503983"/>
    <w:rsid w:val="00504634"/>
    <w:rsid w:val="00507D69"/>
    <w:rsid w:val="00524F35"/>
    <w:rsid w:val="00537E70"/>
    <w:rsid w:val="0054239E"/>
    <w:rsid w:val="00544B47"/>
    <w:rsid w:val="0055098A"/>
    <w:rsid w:val="00553CF6"/>
    <w:rsid w:val="00557CD9"/>
    <w:rsid w:val="00560041"/>
    <w:rsid w:val="005631C3"/>
    <w:rsid w:val="00564AA9"/>
    <w:rsid w:val="00570BA0"/>
    <w:rsid w:val="0057719C"/>
    <w:rsid w:val="00580B4A"/>
    <w:rsid w:val="00582CA6"/>
    <w:rsid w:val="0058489D"/>
    <w:rsid w:val="00587C13"/>
    <w:rsid w:val="0059339E"/>
    <w:rsid w:val="00595DED"/>
    <w:rsid w:val="005962E9"/>
    <w:rsid w:val="00596A73"/>
    <w:rsid w:val="005A0351"/>
    <w:rsid w:val="005A1F82"/>
    <w:rsid w:val="005A203B"/>
    <w:rsid w:val="005A2414"/>
    <w:rsid w:val="005B39A6"/>
    <w:rsid w:val="005C46D3"/>
    <w:rsid w:val="005D441F"/>
    <w:rsid w:val="005D5B58"/>
    <w:rsid w:val="005D78DD"/>
    <w:rsid w:val="005D7FA3"/>
    <w:rsid w:val="005E5CF8"/>
    <w:rsid w:val="005E5FD4"/>
    <w:rsid w:val="005E6268"/>
    <w:rsid w:val="005F076E"/>
    <w:rsid w:val="005F6BCB"/>
    <w:rsid w:val="005F72F5"/>
    <w:rsid w:val="00600605"/>
    <w:rsid w:val="00602625"/>
    <w:rsid w:val="00603311"/>
    <w:rsid w:val="00604132"/>
    <w:rsid w:val="00606576"/>
    <w:rsid w:val="0061185F"/>
    <w:rsid w:val="0061560E"/>
    <w:rsid w:val="0062097C"/>
    <w:rsid w:val="00622273"/>
    <w:rsid w:val="006267F0"/>
    <w:rsid w:val="00630067"/>
    <w:rsid w:val="00630138"/>
    <w:rsid w:val="006311B7"/>
    <w:rsid w:val="00632EC2"/>
    <w:rsid w:val="0064004E"/>
    <w:rsid w:val="00643253"/>
    <w:rsid w:val="0064697D"/>
    <w:rsid w:val="00646D36"/>
    <w:rsid w:val="00647ACB"/>
    <w:rsid w:val="006546BA"/>
    <w:rsid w:val="006557F7"/>
    <w:rsid w:val="00662F4B"/>
    <w:rsid w:val="00665ED7"/>
    <w:rsid w:val="00666147"/>
    <w:rsid w:val="00666BDB"/>
    <w:rsid w:val="0066769C"/>
    <w:rsid w:val="00670426"/>
    <w:rsid w:val="00672A44"/>
    <w:rsid w:val="00677225"/>
    <w:rsid w:val="00686253"/>
    <w:rsid w:val="00692877"/>
    <w:rsid w:val="006935AD"/>
    <w:rsid w:val="00694B73"/>
    <w:rsid w:val="0069682B"/>
    <w:rsid w:val="00697EE4"/>
    <w:rsid w:val="006A1B00"/>
    <w:rsid w:val="006A253C"/>
    <w:rsid w:val="006A50F5"/>
    <w:rsid w:val="006A79FD"/>
    <w:rsid w:val="006A7CF7"/>
    <w:rsid w:val="006B08BC"/>
    <w:rsid w:val="006B2AB2"/>
    <w:rsid w:val="006B3289"/>
    <w:rsid w:val="006B4AE4"/>
    <w:rsid w:val="006B5FC8"/>
    <w:rsid w:val="006B5FE8"/>
    <w:rsid w:val="006C0F0D"/>
    <w:rsid w:val="006C52C4"/>
    <w:rsid w:val="006D0698"/>
    <w:rsid w:val="006E0C01"/>
    <w:rsid w:val="006E2411"/>
    <w:rsid w:val="006E32F1"/>
    <w:rsid w:val="006E3631"/>
    <w:rsid w:val="006F030C"/>
    <w:rsid w:val="006F1444"/>
    <w:rsid w:val="006F6B00"/>
    <w:rsid w:val="006F7589"/>
    <w:rsid w:val="007056AB"/>
    <w:rsid w:val="00706585"/>
    <w:rsid w:val="00720112"/>
    <w:rsid w:val="00724C96"/>
    <w:rsid w:val="00724CAE"/>
    <w:rsid w:val="007257FE"/>
    <w:rsid w:val="00726BDB"/>
    <w:rsid w:val="00726C22"/>
    <w:rsid w:val="00727900"/>
    <w:rsid w:val="00732818"/>
    <w:rsid w:val="00741906"/>
    <w:rsid w:val="007420CC"/>
    <w:rsid w:val="00754017"/>
    <w:rsid w:val="00754E66"/>
    <w:rsid w:val="007569BF"/>
    <w:rsid w:val="00757144"/>
    <w:rsid w:val="0075780B"/>
    <w:rsid w:val="007717AF"/>
    <w:rsid w:val="00780B29"/>
    <w:rsid w:val="00781B63"/>
    <w:rsid w:val="00787D1D"/>
    <w:rsid w:val="00791154"/>
    <w:rsid w:val="00793AA8"/>
    <w:rsid w:val="007A5464"/>
    <w:rsid w:val="007B2C43"/>
    <w:rsid w:val="007B71CB"/>
    <w:rsid w:val="007C0227"/>
    <w:rsid w:val="007C13B3"/>
    <w:rsid w:val="007C26D3"/>
    <w:rsid w:val="007C336D"/>
    <w:rsid w:val="007C4085"/>
    <w:rsid w:val="007C5157"/>
    <w:rsid w:val="007D2A40"/>
    <w:rsid w:val="007D404F"/>
    <w:rsid w:val="007D601C"/>
    <w:rsid w:val="007D60B8"/>
    <w:rsid w:val="007D7598"/>
    <w:rsid w:val="007E175B"/>
    <w:rsid w:val="007E325A"/>
    <w:rsid w:val="007E66FE"/>
    <w:rsid w:val="007E703F"/>
    <w:rsid w:val="007F575F"/>
    <w:rsid w:val="007F6219"/>
    <w:rsid w:val="007F632C"/>
    <w:rsid w:val="007F6BC3"/>
    <w:rsid w:val="00802952"/>
    <w:rsid w:val="00803C1C"/>
    <w:rsid w:val="008062D5"/>
    <w:rsid w:val="008122DA"/>
    <w:rsid w:val="008128D9"/>
    <w:rsid w:val="008202BC"/>
    <w:rsid w:val="0082073C"/>
    <w:rsid w:val="0082399C"/>
    <w:rsid w:val="00823A82"/>
    <w:rsid w:val="00830D02"/>
    <w:rsid w:val="00835642"/>
    <w:rsid w:val="00836CE0"/>
    <w:rsid w:val="0083729B"/>
    <w:rsid w:val="008405A1"/>
    <w:rsid w:val="00841A9F"/>
    <w:rsid w:val="0084686E"/>
    <w:rsid w:val="00847F9F"/>
    <w:rsid w:val="008509DC"/>
    <w:rsid w:val="00855F65"/>
    <w:rsid w:val="00857A88"/>
    <w:rsid w:val="008630ED"/>
    <w:rsid w:val="00863275"/>
    <w:rsid w:val="00866AA0"/>
    <w:rsid w:val="00874786"/>
    <w:rsid w:val="00880148"/>
    <w:rsid w:val="00891248"/>
    <w:rsid w:val="00891A52"/>
    <w:rsid w:val="008923FE"/>
    <w:rsid w:val="00895B4F"/>
    <w:rsid w:val="008A0D92"/>
    <w:rsid w:val="008A6B80"/>
    <w:rsid w:val="008B0EF8"/>
    <w:rsid w:val="008B4FA3"/>
    <w:rsid w:val="008C25C0"/>
    <w:rsid w:val="008C3465"/>
    <w:rsid w:val="008C5AF5"/>
    <w:rsid w:val="008C7E10"/>
    <w:rsid w:val="008D0CE5"/>
    <w:rsid w:val="008D12E4"/>
    <w:rsid w:val="008D2451"/>
    <w:rsid w:val="008D24E5"/>
    <w:rsid w:val="008E0503"/>
    <w:rsid w:val="008E1FCA"/>
    <w:rsid w:val="008E3C49"/>
    <w:rsid w:val="008E3D95"/>
    <w:rsid w:val="008E55EC"/>
    <w:rsid w:val="008E7477"/>
    <w:rsid w:val="008F0C12"/>
    <w:rsid w:val="008F379F"/>
    <w:rsid w:val="008F53E7"/>
    <w:rsid w:val="008F7268"/>
    <w:rsid w:val="00913B23"/>
    <w:rsid w:val="0092182D"/>
    <w:rsid w:val="00922FA0"/>
    <w:rsid w:val="00924614"/>
    <w:rsid w:val="009251A3"/>
    <w:rsid w:val="0092527B"/>
    <w:rsid w:val="00932602"/>
    <w:rsid w:val="00933DDE"/>
    <w:rsid w:val="00944C52"/>
    <w:rsid w:val="00946176"/>
    <w:rsid w:val="009468A7"/>
    <w:rsid w:val="00960279"/>
    <w:rsid w:val="0096169E"/>
    <w:rsid w:val="00963837"/>
    <w:rsid w:val="009656F8"/>
    <w:rsid w:val="00967455"/>
    <w:rsid w:val="009708F7"/>
    <w:rsid w:val="0097091D"/>
    <w:rsid w:val="00971410"/>
    <w:rsid w:val="0097229C"/>
    <w:rsid w:val="00973614"/>
    <w:rsid w:val="009777E3"/>
    <w:rsid w:val="00982C6B"/>
    <w:rsid w:val="00984644"/>
    <w:rsid w:val="00985F80"/>
    <w:rsid w:val="0099061F"/>
    <w:rsid w:val="009926FC"/>
    <w:rsid w:val="009939FF"/>
    <w:rsid w:val="009A0A34"/>
    <w:rsid w:val="009A56D4"/>
    <w:rsid w:val="009B04C3"/>
    <w:rsid w:val="009B22C8"/>
    <w:rsid w:val="009B62B8"/>
    <w:rsid w:val="009B7349"/>
    <w:rsid w:val="009B7B23"/>
    <w:rsid w:val="009C0067"/>
    <w:rsid w:val="009C03EF"/>
    <w:rsid w:val="009C2D6E"/>
    <w:rsid w:val="009D1A9E"/>
    <w:rsid w:val="009D1C67"/>
    <w:rsid w:val="009D7FD1"/>
    <w:rsid w:val="009E0760"/>
    <w:rsid w:val="009E6C8C"/>
    <w:rsid w:val="009F4547"/>
    <w:rsid w:val="009F6473"/>
    <w:rsid w:val="00A02075"/>
    <w:rsid w:val="00A03418"/>
    <w:rsid w:val="00A06862"/>
    <w:rsid w:val="00A10B6B"/>
    <w:rsid w:val="00A12B4D"/>
    <w:rsid w:val="00A13DFB"/>
    <w:rsid w:val="00A15067"/>
    <w:rsid w:val="00A1520B"/>
    <w:rsid w:val="00A166EB"/>
    <w:rsid w:val="00A20A82"/>
    <w:rsid w:val="00A25A70"/>
    <w:rsid w:val="00A27695"/>
    <w:rsid w:val="00A322AF"/>
    <w:rsid w:val="00A36034"/>
    <w:rsid w:val="00A36CF6"/>
    <w:rsid w:val="00A446FF"/>
    <w:rsid w:val="00A451EF"/>
    <w:rsid w:val="00A65EA0"/>
    <w:rsid w:val="00A72276"/>
    <w:rsid w:val="00A73E9E"/>
    <w:rsid w:val="00A75343"/>
    <w:rsid w:val="00A76209"/>
    <w:rsid w:val="00A81B7D"/>
    <w:rsid w:val="00A82E39"/>
    <w:rsid w:val="00A83633"/>
    <w:rsid w:val="00A83A3E"/>
    <w:rsid w:val="00A84B88"/>
    <w:rsid w:val="00AA252B"/>
    <w:rsid w:val="00AA2E36"/>
    <w:rsid w:val="00AA33E0"/>
    <w:rsid w:val="00AA6AA5"/>
    <w:rsid w:val="00AB1F3B"/>
    <w:rsid w:val="00AB6345"/>
    <w:rsid w:val="00AC4C18"/>
    <w:rsid w:val="00AD5CB5"/>
    <w:rsid w:val="00AE49A2"/>
    <w:rsid w:val="00AE50C1"/>
    <w:rsid w:val="00AF295A"/>
    <w:rsid w:val="00AF309A"/>
    <w:rsid w:val="00AF3FC1"/>
    <w:rsid w:val="00B029D8"/>
    <w:rsid w:val="00B065E1"/>
    <w:rsid w:val="00B117A3"/>
    <w:rsid w:val="00B11D61"/>
    <w:rsid w:val="00B1576E"/>
    <w:rsid w:val="00B17A79"/>
    <w:rsid w:val="00B22C66"/>
    <w:rsid w:val="00B24440"/>
    <w:rsid w:val="00B267BE"/>
    <w:rsid w:val="00B270B2"/>
    <w:rsid w:val="00B3075A"/>
    <w:rsid w:val="00B3178A"/>
    <w:rsid w:val="00B32FA4"/>
    <w:rsid w:val="00B34A0F"/>
    <w:rsid w:val="00B357FC"/>
    <w:rsid w:val="00B36AAF"/>
    <w:rsid w:val="00B43961"/>
    <w:rsid w:val="00B44AFA"/>
    <w:rsid w:val="00B52903"/>
    <w:rsid w:val="00B63B44"/>
    <w:rsid w:val="00B65C78"/>
    <w:rsid w:val="00B70976"/>
    <w:rsid w:val="00B70B8B"/>
    <w:rsid w:val="00B75725"/>
    <w:rsid w:val="00B77D4C"/>
    <w:rsid w:val="00B838F6"/>
    <w:rsid w:val="00B85F88"/>
    <w:rsid w:val="00B8687E"/>
    <w:rsid w:val="00B87E9E"/>
    <w:rsid w:val="00B93926"/>
    <w:rsid w:val="00B97847"/>
    <w:rsid w:val="00BA1553"/>
    <w:rsid w:val="00BA57AA"/>
    <w:rsid w:val="00BB11F7"/>
    <w:rsid w:val="00BB5BDF"/>
    <w:rsid w:val="00BC484D"/>
    <w:rsid w:val="00BC68FB"/>
    <w:rsid w:val="00BC7B02"/>
    <w:rsid w:val="00BD0C53"/>
    <w:rsid w:val="00BD32FE"/>
    <w:rsid w:val="00BE1AAB"/>
    <w:rsid w:val="00BE31E1"/>
    <w:rsid w:val="00BF1737"/>
    <w:rsid w:val="00BF510A"/>
    <w:rsid w:val="00C06641"/>
    <w:rsid w:val="00C1564F"/>
    <w:rsid w:val="00C23B6F"/>
    <w:rsid w:val="00C24515"/>
    <w:rsid w:val="00C251BD"/>
    <w:rsid w:val="00C320D8"/>
    <w:rsid w:val="00C36F05"/>
    <w:rsid w:val="00C37139"/>
    <w:rsid w:val="00C42237"/>
    <w:rsid w:val="00C42523"/>
    <w:rsid w:val="00C4467A"/>
    <w:rsid w:val="00C449D9"/>
    <w:rsid w:val="00C45C41"/>
    <w:rsid w:val="00C5100B"/>
    <w:rsid w:val="00C51358"/>
    <w:rsid w:val="00C54F6A"/>
    <w:rsid w:val="00C63DE0"/>
    <w:rsid w:val="00C66B59"/>
    <w:rsid w:val="00C671E7"/>
    <w:rsid w:val="00C673FB"/>
    <w:rsid w:val="00C71632"/>
    <w:rsid w:val="00C758AC"/>
    <w:rsid w:val="00C80282"/>
    <w:rsid w:val="00C826C9"/>
    <w:rsid w:val="00C82C8F"/>
    <w:rsid w:val="00C82DAB"/>
    <w:rsid w:val="00C83C0B"/>
    <w:rsid w:val="00C85D02"/>
    <w:rsid w:val="00C926A4"/>
    <w:rsid w:val="00C948A8"/>
    <w:rsid w:val="00CA08FF"/>
    <w:rsid w:val="00CA5467"/>
    <w:rsid w:val="00CA6C85"/>
    <w:rsid w:val="00CA6CA8"/>
    <w:rsid w:val="00CB0457"/>
    <w:rsid w:val="00CB07EE"/>
    <w:rsid w:val="00CB591E"/>
    <w:rsid w:val="00CB6DD8"/>
    <w:rsid w:val="00CC05DB"/>
    <w:rsid w:val="00CC299C"/>
    <w:rsid w:val="00CC3B31"/>
    <w:rsid w:val="00CC5AEF"/>
    <w:rsid w:val="00CC7692"/>
    <w:rsid w:val="00CC787B"/>
    <w:rsid w:val="00CC7FD4"/>
    <w:rsid w:val="00CD0545"/>
    <w:rsid w:val="00CD2740"/>
    <w:rsid w:val="00CD37AD"/>
    <w:rsid w:val="00CD5E60"/>
    <w:rsid w:val="00CD735A"/>
    <w:rsid w:val="00CE017D"/>
    <w:rsid w:val="00CE5ACE"/>
    <w:rsid w:val="00CE78FC"/>
    <w:rsid w:val="00CF48F7"/>
    <w:rsid w:val="00CF4E5C"/>
    <w:rsid w:val="00D0347C"/>
    <w:rsid w:val="00D05854"/>
    <w:rsid w:val="00D1019F"/>
    <w:rsid w:val="00D11EAF"/>
    <w:rsid w:val="00D12805"/>
    <w:rsid w:val="00D20B90"/>
    <w:rsid w:val="00D22BE3"/>
    <w:rsid w:val="00D235F7"/>
    <w:rsid w:val="00D23E51"/>
    <w:rsid w:val="00D3529D"/>
    <w:rsid w:val="00D354E7"/>
    <w:rsid w:val="00D371AD"/>
    <w:rsid w:val="00D40267"/>
    <w:rsid w:val="00D452C6"/>
    <w:rsid w:val="00D45CD9"/>
    <w:rsid w:val="00D53075"/>
    <w:rsid w:val="00D54F18"/>
    <w:rsid w:val="00D55E8B"/>
    <w:rsid w:val="00D56C74"/>
    <w:rsid w:val="00D72735"/>
    <w:rsid w:val="00D74841"/>
    <w:rsid w:val="00D75C43"/>
    <w:rsid w:val="00D81C12"/>
    <w:rsid w:val="00D835E6"/>
    <w:rsid w:val="00D93A93"/>
    <w:rsid w:val="00D94D0E"/>
    <w:rsid w:val="00D95787"/>
    <w:rsid w:val="00DA4DF5"/>
    <w:rsid w:val="00DA6065"/>
    <w:rsid w:val="00DA68DE"/>
    <w:rsid w:val="00DB2F76"/>
    <w:rsid w:val="00DB48AF"/>
    <w:rsid w:val="00DB49FD"/>
    <w:rsid w:val="00DB5AF0"/>
    <w:rsid w:val="00DC1074"/>
    <w:rsid w:val="00DC3D09"/>
    <w:rsid w:val="00DD0839"/>
    <w:rsid w:val="00DD183E"/>
    <w:rsid w:val="00DD2B32"/>
    <w:rsid w:val="00DD3E0E"/>
    <w:rsid w:val="00DD6C26"/>
    <w:rsid w:val="00DF5294"/>
    <w:rsid w:val="00DF55D6"/>
    <w:rsid w:val="00E04FD2"/>
    <w:rsid w:val="00E066C5"/>
    <w:rsid w:val="00E066F1"/>
    <w:rsid w:val="00E0777F"/>
    <w:rsid w:val="00E1153E"/>
    <w:rsid w:val="00E15C5A"/>
    <w:rsid w:val="00E1750C"/>
    <w:rsid w:val="00E20CE7"/>
    <w:rsid w:val="00E20FE3"/>
    <w:rsid w:val="00E21EFF"/>
    <w:rsid w:val="00E26B54"/>
    <w:rsid w:val="00E2710C"/>
    <w:rsid w:val="00E301CA"/>
    <w:rsid w:val="00E31A32"/>
    <w:rsid w:val="00E34458"/>
    <w:rsid w:val="00E42CC8"/>
    <w:rsid w:val="00E43EBE"/>
    <w:rsid w:val="00E47328"/>
    <w:rsid w:val="00E47A4D"/>
    <w:rsid w:val="00E501AC"/>
    <w:rsid w:val="00E554EF"/>
    <w:rsid w:val="00E56CA8"/>
    <w:rsid w:val="00E6087C"/>
    <w:rsid w:val="00E61E1C"/>
    <w:rsid w:val="00E648E4"/>
    <w:rsid w:val="00E673C1"/>
    <w:rsid w:val="00E70B19"/>
    <w:rsid w:val="00E75A27"/>
    <w:rsid w:val="00E7736C"/>
    <w:rsid w:val="00E8266A"/>
    <w:rsid w:val="00E83347"/>
    <w:rsid w:val="00E85BA4"/>
    <w:rsid w:val="00E91C05"/>
    <w:rsid w:val="00E933C8"/>
    <w:rsid w:val="00E967F6"/>
    <w:rsid w:val="00E971C2"/>
    <w:rsid w:val="00E972B2"/>
    <w:rsid w:val="00E9768D"/>
    <w:rsid w:val="00EA22E7"/>
    <w:rsid w:val="00EA267D"/>
    <w:rsid w:val="00EA55AF"/>
    <w:rsid w:val="00EA5CC4"/>
    <w:rsid w:val="00EA5D37"/>
    <w:rsid w:val="00EA747F"/>
    <w:rsid w:val="00EB21C5"/>
    <w:rsid w:val="00EC1698"/>
    <w:rsid w:val="00ED0D37"/>
    <w:rsid w:val="00ED2F99"/>
    <w:rsid w:val="00ED723D"/>
    <w:rsid w:val="00EE0D98"/>
    <w:rsid w:val="00EE0F33"/>
    <w:rsid w:val="00EF1032"/>
    <w:rsid w:val="00EF5CE8"/>
    <w:rsid w:val="00EF634E"/>
    <w:rsid w:val="00F06079"/>
    <w:rsid w:val="00F066D3"/>
    <w:rsid w:val="00F12D99"/>
    <w:rsid w:val="00F13C24"/>
    <w:rsid w:val="00F17962"/>
    <w:rsid w:val="00F21FB5"/>
    <w:rsid w:val="00F26865"/>
    <w:rsid w:val="00F330B7"/>
    <w:rsid w:val="00F37DBC"/>
    <w:rsid w:val="00F43CAE"/>
    <w:rsid w:val="00F458A9"/>
    <w:rsid w:val="00F47015"/>
    <w:rsid w:val="00F53D7A"/>
    <w:rsid w:val="00F550B2"/>
    <w:rsid w:val="00F56AE1"/>
    <w:rsid w:val="00F61BEB"/>
    <w:rsid w:val="00F65580"/>
    <w:rsid w:val="00F6717E"/>
    <w:rsid w:val="00F7113E"/>
    <w:rsid w:val="00F71E25"/>
    <w:rsid w:val="00F7374C"/>
    <w:rsid w:val="00F73EDE"/>
    <w:rsid w:val="00F750D6"/>
    <w:rsid w:val="00F834A1"/>
    <w:rsid w:val="00F85E1F"/>
    <w:rsid w:val="00F97CC5"/>
    <w:rsid w:val="00FA0381"/>
    <w:rsid w:val="00FA3062"/>
    <w:rsid w:val="00FA3F20"/>
    <w:rsid w:val="00FA5125"/>
    <w:rsid w:val="00FA5256"/>
    <w:rsid w:val="00FA579B"/>
    <w:rsid w:val="00FB0D27"/>
    <w:rsid w:val="00FB0FF2"/>
    <w:rsid w:val="00FB2ED4"/>
    <w:rsid w:val="00FC1C06"/>
    <w:rsid w:val="00FC3F18"/>
    <w:rsid w:val="00FC7BEF"/>
    <w:rsid w:val="00FD04E9"/>
    <w:rsid w:val="00FD2D84"/>
    <w:rsid w:val="00FD4D25"/>
    <w:rsid w:val="00FD683B"/>
    <w:rsid w:val="00FD6B9A"/>
    <w:rsid w:val="00FD7CA1"/>
    <w:rsid w:val="00FE0E13"/>
    <w:rsid w:val="00FF050F"/>
    <w:rsid w:val="00FF21AF"/>
    <w:rsid w:val="00FF25FF"/>
    <w:rsid w:val="00FF3568"/>
    <w:rsid w:val="00FF46DC"/>
    <w:rsid w:val="011533D3"/>
    <w:rsid w:val="01251D24"/>
    <w:rsid w:val="01CD771F"/>
    <w:rsid w:val="01F43558"/>
    <w:rsid w:val="023164E6"/>
    <w:rsid w:val="02474A49"/>
    <w:rsid w:val="033D1ADE"/>
    <w:rsid w:val="036367E0"/>
    <w:rsid w:val="039F7E49"/>
    <w:rsid w:val="05157E8F"/>
    <w:rsid w:val="054B2103"/>
    <w:rsid w:val="05AC6B73"/>
    <w:rsid w:val="05DE5BE3"/>
    <w:rsid w:val="0655690D"/>
    <w:rsid w:val="0665039D"/>
    <w:rsid w:val="06A46BE6"/>
    <w:rsid w:val="07445627"/>
    <w:rsid w:val="078F281A"/>
    <w:rsid w:val="07EA340B"/>
    <w:rsid w:val="084B3130"/>
    <w:rsid w:val="08F06D8C"/>
    <w:rsid w:val="0AFD4F98"/>
    <w:rsid w:val="0BAF4DBB"/>
    <w:rsid w:val="0BC769E4"/>
    <w:rsid w:val="0D2E5678"/>
    <w:rsid w:val="0D361CE2"/>
    <w:rsid w:val="0DEE19CC"/>
    <w:rsid w:val="0F9C680E"/>
    <w:rsid w:val="0FA51139"/>
    <w:rsid w:val="100342A2"/>
    <w:rsid w:val="102371DC"/>
    <w:rsid w:val="11455A22"/>
    <w:rsid w:val="11B0460C"/>
    <w:rsid w:val="11D755F1"/>
    <w:rsid w:val="129920A0"/>
    <w:rsid w:val="12D11ECD"/>
    <w:rsid w:val="13070B2A"/>
    <w:rsid w:val="13486D30"/>
    <w:rsid w:val="13A74298"/>
    <w:rsid w:val="13C722AA"/>
    <w:rsid w:val="13E40957"/>
    <w:rsid w:val="151E3B02"/>
    <w:rsid w:val="15A32527"/>
    <w:rsid w:val="15F55695"/>
    <w:rsid w:val="161E6B35"/>
    <w:rsid w:val="16240763"/>
    <w:rsid w:val="179F4C47"/>
    <w:rsid w:val="17AB5C26"/>
    <w:rsid w:val="1A834589"/>
    <w:rsid w:val="1ACD7636"/>
    <w:rsid w:val="1AE92E8E"/>
    <w:rsid w:val="1B5F4A90"/>
    <w:rsid w:val="1B961B4A"/>
    <w:rsid w:val="1BC1210D"/>
    <w:rsid w:val="1C921F44"/>
    <w:rsid w:val="1CB22DBE"/>
    <w:rsid w:val="1CC95C28"/>
    <w:rsid w:val="1D475F5E"/>
    <w:rsid w:val="1D783AFD"/>
    <w:rsid w:val="1E0A62CB"/>
    <w:rsid w:val="1E3554AF"/>
    <w:rsid w:val="1EE324BA"/>
    <w:rsid w:val="1F8E2C90"/>
    <w:rsid w:val="1FBB4951"/>
    <w:rsid w:val="1FBD34A2"/>
    <w:rsid w:val="202253C5"/>
    <w:rsid w:val="20390AC0"/>
    <w:rsid w:val="20C57D66"/>
    <w:rsid w:val="2124312A"/>
    <w:rsid w:val="21A324A7"/>
    <w:rsid w:val="229C0B63"/>
    <w:rsid w:val="22D9741A"/>
    <w:rsid w:val="234603A1"/>
    <w:rsid w:val="239B50B1"/>
    <w:rsid w:val="24E97853"/>
    <w:rsid w:val="252F2DF2"/>
    <w:rsid w:val="25FE400E"/>
    <w:rsid w:val="26451D34"/>
    <w:rsid w:val="26D2306D"/>
    <w:rsid w:val="2758752B"/>
    <w:rsid w:val="27B3075C"/>
    <w:rsid w:val="28135142"/>
    <w:rsid w:val="28761D2E"/>
    <w:rsid w:val="287B5C2C"/>
    <w:rsid w:val="291F2805"/>
    <w:rsid w:val="2945448C"/>
    <w:rsid w:val="29986C4B"/>
    <w:rsid w:val="2AE85674"/>
    <w:rsid w:val="2B541B83"/>
    <w:rsid w:val="2B9C061A"/>
    <w:rsid w:val="2BB01839"/>
    <w:rsid w:val="2BC55F5B"/>
    <w:rsid w:val="2D5B50F8"/>
    <w:rsid w:val="2E264BA1"/>
    <w:rsid w:val="2E431CC5"/>
    <w:rsid w:val="2EB4622D"/>
    <w:rsid w:val="2EFF73A8"/>
    <w:rsid w:val="30514229"/>
    <w:rsid w:val="30B51590"/>
    <w:rsid w:val="30B7617C"/>
    <w:rsid w:val="30E852C9"/>
    <w:rsid w:val="30F02CFA"/>
    <w:rsid w:val="312D5602"/>
    <w:rsid w:val="31330DF4"/>
    <w:rsid w:val="31A237FE"/>
    <w:rsid w:val="31BB6926"/>
    <w:rsid w:val="324B6F73"/>
    <w:rsid w:val="32825D03"/>
    <w:rsid w:val="32A25D21"/>
    <w:rsid w:val="32DF3206"/>
    <w:rsid w:val="3308385C"/>
    <w:rsid w:val="334C5A26"/>
    <w:rsid w:val="335E1555"/>
    <w:rsid w:val="34067D43"/>
    <w:rsid w:val="342A3DB8"/>
    <w:rsid w:val="342C4D31"/>
    <w:rsid w:val="34A42800"/>
    <w:rsid w:val="36D52E06"/>
    <w:rsid w:val="37042F32"/>
    <w:rsid w:val="376B44F9"/>
    <w:rsid w:val="37FB62AD"/>
    <w:rsid w:val="382C24AB"/>
    <w:rsid w:val="38BA60F8"/>
    <w:rsid w:val="38E627E6"/>
    <w:rsid w:val="39E1036E"/>
    <w:rsid w:val="3A015803"/>
    <w:rsid w:val="3AED7D56"/>
    <w:rsid w:val="3B4413CB"/>
    <w:rsid w:val="3B553864"/>
    <w:rsid w:val="3B6A6A86"/>
    <w:rsid w:val="3B76761C"/>
    <w:rsid w:val="3B914756"/>
    <w:rsid w:val="3B9A307F"/>
    <w:rsid w:val="3B9C6711"/>
    <w:rsid w:val="3BC131A6"/>
    <w:rsid w:val="3C82188F"/>
    <w:rsid w:val="3C87559F"/>
    <w:rsid w:val="3D52448D"/>
    <w:rsid w:val="3DCF2C73"/>
    <w:rsid w:val="3DD26A07"/>
    <w:rsid w:val="3E8F782E"/>
    <w:rsid w:val="3EC14B85"/>
    <w:rsid w:val="3ED27311"/>
    <w:rsid w:val="3F2550EB"/>
    <w:rsid w:val="3F2A4C02"/>
    <w:rsid w:val="3F4B4988"/>
    <w:rsid w:val="3F5402C9"/>
    <w:rsid w:val="3F77431A"/>
    <w:rsid w:val="404A4EBB"/>
    <w:rsid w:val="4056719A"/>
    <w:rsid w:val="409A3C3B"/>
    <w:rsid w:val="412F2700"/>
    <w:rsid w:val="414442D3"/>
    <w:rsid w:val="41F61BE6"/>
    <w:rsid w:val="42096651"/>
    <w:rsid w:val="42693382"/>
    <w:rsid w:val="45B404B6"/>
    <w:rsid w:val="45C07EC6"/>
    <w:rsid w:val="460B799F"/>
    <w:rsid w:val="46485E6B"/>
    <w:rsid w:val="47326B5E"/>
    <w:rsid w:val="47AD2C24"/>
    <w:rsid w:val="47EE3D90"/>
    <w:rsid w:val="480E6A10"/>
    <w:rsid w:val="498B3C90"/>
    <w:rsid w:val="49CD3F23"/>
    <w:rsid w:val="4C117EF7"/>
    <w:rsid w:val="4C9F3B9A"/>
    <w:rsid w:val="4D930E87"/>
    <w:rsid w:val="4DCD7DDB"/>
    <w:rsid w:val="4E3F35EC"/>
    <w:rsid w:val="4F31415B"/>
    <w:rsid w:val="4F7E458F"/>
    <w:rsid w:val="4FD97665"/>
    <w:rsid w:val="500057FF"/>
    <w:rsid w:val="51681917"/>
    <w:rsid w:val="519145AA"/>
    <w:rsid w:val="51E732EF"/>
    <w:rsid w:val="523E73BD"/>
    <w:rsid w:val="53186EE4"/>
    <w:rsid w:val="53A4309F"/>
    <w:rsid w:val="54287009"/>
    <w:rsid w:val="55945EFD"/>
    <w:rsid w:val="55AA3C26"/>
    <w:rsid w:val="55FD01A8"/>
    <w:rsid w:val="56426514"/>
    <w:rsid w:val="56A551E9"/>
    <w:rsid w:val="57B958F8"/>
    <w:rsid w:val="57D02009"/>
    <w:rsid w:val="58221AA4"/>
    <w:rsid w:val="58AF2EC0"/>
    <w:rsid w:val="592C4FA1"/>
    <w:rsid w:val="598C48FA"/>
    <w:rsid w:val="5A941A62"/>
    <w:rsid w:val="5C5726F8"/>
    <w:rsid w:val="5D545C49"/>
    <w:rsid w:val="5DAE407C"/>
    <w:rsid w:val="5DBA2210"/>
    <w:rsid w:val="5DCC7F73"/>
    <w:rsid w:val="5DD8266B"/>
    <w:rsid w:val="5F20199D"/>
    <w:rsid w:val="5F9F4323"/>
    <w:rsid w:val="60066F2E"/>
    <w:rsid w:val="611964DB"/>
    <w:rsid w:val="6163358D"/>
    <w:rsid w:val="62607170"/>
    <w:rsid w:val="631B3891"/>
    <w:rsid w:val="634643C3"/>
    <w:rsid w:val="63F06D02"/>
    <w:rsid w:val="63F80F1C"/>
    <w:rsid w:val="64045791"/>
    <w:rsid w:val="657A399C"/>
    <w:rsid w:val="659F0545"/>
    <w:rsid w:val="66BA2A18"/>
    <w:rsid w:val="66D756E2"/>
    <w:rsid w:val="67F72C3B"/>
    <w:rsid w:val="68326D82"/>
    <w:rsid w:val="68530B7F"/>
    <w:rsid w:val="69D1358E"/>
    <w:rsid w:val="6A1C006F"/>
    <w:rsid w:val="6A236B33"/>
    <w:rsid w:val="6A845A2D"/>
    <w:rsid w:val="6D756624"/>
    <w:rsid w:val="6E2A615C"/>
    <w:rsid w:val="6EA96782"/>
    <w:rsid w:val="6FCD0831"/>
    <w:rsid w:val="700145AA"/>
    <w:rsid w:val="70992E9E"/>
    <w:rsid w:val="70BA238A"/>
    <w:rsid w:val="71756B34"/>
    <w:rsid w:val="718A39A6"/>
    <w:rsid w:val="71DA215E"/>
    <w:rsid w:val="71E27D55"/>
    <w:rsid w:val="72425ED9"/>
    <w:rsid w:val="72450A95"/>
    <w:rsid w:val="72B10ABA"/>
    <w:rsid w:val="72DD360A"/>
    <w:rsid w:val="73033F9E"/>
    <w:rsid w:val="73F752E0"/>
    <w:rsid w:val="74483FB5"/>
    <w:rsid w:val="74E651D7"/>
    <w:rsid w:val="74F83268"/>
    <w:rsid w:val="75A80BB8"/>
    <w:rsid w:val="76A9613C"/>
    <w:rsid w:val="76B61BCF"/>
    <w:rsid w:val="76CC7243"/>
    <w:rsid w:val="76E7254B"/>
    <w:rsid w:val="77B000DF"/>
    <w:rsid w:val="78067D8B"/>
    <w:rsid w:val="79640640"/>
    <w:rsid w:val="79FD1CEE"/>
    <w:rsid w:val="7A070690"/>
    <w:rsid w:val="7AEC25B9"/>
    <w:rsid w:val="7BA34616"/>
    <w:rsid w:val="7BAA258B"/>
    <w:rsid w:val="7BC1306C"/>
    <w:rsid w:val="7BF604ED"/>
    <w:rsid w:val="7C0E6CD3"/>
    <w:rsid w:val="7CBD307E"/>
    <w:rsid w:val="7D090006"/>
    <w:rsid w:val="7DDE165E"/>
    <w:rsid w:val="7E4014F5"/>
    <w:rsid w:val="7E793A27"/>
    <w:rsid w:val="7EB25D78"/>
    <w:rsid w:val="7EEF50DF"/>
    <w:rsid w:val="7F117485"/>
    <w:rsid w:val="7F124F07"/>
    <w:rsid w:val="7F8A04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qFormat="1" w:uiPriority="99" w:semiHidden="0"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4"/>
    <w:qFormat/>
    <w:uiPriority w:val="0"/>
    <w:pPr>
      <w:keepNext/>
      <w:keepLines/>
      <w:spacing w:before="260" w:after="260" w:line="413" w:lineRule="auto"/>
      <w:outlineLvl w:val="1"/>
    </w:pPr>
    <w:rPr>
      <w:rFonts w:ascii="Cambria" w:hAnsi="Cambria"/>
      <w:b/>
      <w:bCs/>
      <w:kern w:val="0"/>
      <w:sz w:val="32"/>
      <w:szCs w:val="32"/>
    </w:rPr>
  </w:style>
  <w:style w:type="paragraph" w:styleId="6">
    <w:name w:val="heading 3"/>
    <w:basedOn w:val="1"/>
    <w:next w:val="1"/>
    <w:link w:val="225"/>
    <w:qFormat/>
    <w:uiPriority w:val="9"/>
    <w:pPr>
      <w:keepNext/>
      <w:keepLines/>
      <w:spacing w:before="260" w:after="260" w:line="416" w:lineRule="auto"/>
      <w:outlineLvl w:val="2"/>
    </w:pPr>
    <w:rPr>
      <w:b/>
      <w:bCs/>
      <w:sz w:val="32"/>
      <w:szCs w:val="32"/>
    </w:rPr>
  </w:style>
  <w:style w:type="paragraph" w:styleId="7">
    <w:name w:val="heading 4"/>
    <w:basedOn w:val="1"/>
    <w:next w:val="1"/>
    <w:link w:val="226"/>
    <w:qFormat/>
    <w:uiPriority w:val="0"/>
    <w:pPr>
      <w:keepNext/>
      <w:keepLines/>
      <w:spacing w:before="280" w:after="290" w:line="376" w:lineRule="auto"/>
      <w:outlineLvl w:val="3"/>
    </w:pPr>
    <w:rPr>
      <w:rFonts w:ascii="Arial" w:hAnsi="Arial" w:eastAsia="黑体"/>
      <w:b/>
      <w:bCs/>
      <w:kern w:val="0"/>
      <w:sz w:val="28"/>
      <w:szCs w:val="28"/>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231"/>
    <w:qFormat/>
    <w:uiPriority w:val="0"/>
    <w:rPr>
      <w:kern w:val="0"/>
      <w:sz w:val="32"/>
      <w:szCs w:val="20"/>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8">
    <w:name w:val="Normal Indent"/>
    <w:basedOn w:val="1"/>
    <w:link w:val="227"/>
    <w:qFormat/>
    <w:uiPriority w:val="0"/>
    <w:pPr>
      <w:ind w:firstLine="420"/>
    </w:pPr>
    <w:rPr>
      <w:kern w:val="0"/>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228"/>
    <w:qFormat/>
    <w:uiPriority w:val="0"/>
    <w:rPr>
      <w:rFonts w:ascii="宋体"/>
      <w:kern w:val="0"/>
      <w:sz w:val="18"/>
      <w:szCs w:val="18"/>
    </w:rPr>
  </w:style>
  <w:style w:type="paragraph" w:styleId="11">
    <w:name w:val="toa heading"/>
    <w:basedOn w:val="1"/>
    <w:next w:val="1"/>
    <w:semiHidden/>
    <w:qFormat/>
    <w:uiPriority w:val="0"/>
    <w:pPr>
      <w:spacing w:before="120"/>
    </w:pPr>
    <w:rPr>
      <w:rFonts w:ascii="Arial" w:hAnsi="Arial"/>
      <w:b/>
      <w:bCs/>
    </w:rPr>
  </w:style>
  <w:style w:type="paragraph" w:styleId="12">
    <w:name w:val="annotation text"/>
    <w:basedOn w:val="1"/>
    <w:link w:val="229"/>
    <w:unhideWhenUsed/>
    <w:qFormat/>
    <w:uiPriority w:val="0"/>
    <w:pPr>
      <w:jc w:val="left"/>
    </w:pPr>
    <w:rPr>
      <w:kern w:val="0"/>
      <w:sz w:val="20"/>
    </w:rPr>
  </w:style>
  <w:style w:type="paragraph" w:styleId="13">
    <w:name w:val="Body Text 3"/>
    <w:basedOn w:val="1"/>
    <w:link w:val="230"/>
    <w:qFormat/>
    <w:uiPriority w:val="0"/>
    <w:pPr>
      <w:spacing w:after="120"/>
    </w:pPr>
    <w:rPr>
      <w:rFonts w:ascii="仿宋_GB2312" w:eastAsia="仿宋_GB2312"/>
      <w:b/>
      <w:kern w:val="0"/>
      <w:sz w:val="16"/>
      <w:szCs w:val="16"/>
    </w:rPr>
  </w:style>
  <w:style w:type="paragraph" w:styleId="14">
    <w:name w:val="Body Text Indent"/>
    <w:basedOn w:val="1"/>
    <w:next w:val="1"/>
    <w:link w:val="232"/>
    <w:qFormat/>
    <w:uiPriority w:val="0"/>
    <w:pPr>
      <w:ind w:firstLine="645"/>
    </w:pPr>
    <w:rPr>
      <w:kern w:val="0"/>
      <w:sz w:val="28"/>
      <w:szCs w:val="20"/>
    </w:rPr>
  </w:style>
  <w:style w:type="paragraph" w:styleId="15">
    <w:name w:val="List 2"/>
    <w:basedOn w:val="1"/>
    <w:qFormat/>
    <w:uiPriority w:val="0"/>
    <w:pPr>
      <w:ind w:left="100" w:leftChars="200" w:hanging="200" w:hangingChars="200"/>
    </w:pPr>
    <w:rPr>
      <w:sz w:val="28"/>
    </w:rPr>
  </w:style>
  <w:style w:type="paragraph" w:styleId="16">
    <w:name w:val="toc 3"/>
    <w:basedOn w:val="1"/>
    <w:next w:val="1"/>
    <w:qFormat/>
    <w:uiPriority w:val="39"/>
    <w:pPr>
      <w:widowControl/>
      <w:spacing w:after="100" w:line="276" w:lineRule="auto"/>
      <w:ind w:left="440"/>
      <w:jc w:val="left"/>
    </w:pPr>
    <w:rPr>
      <w:kern w:val="0"/>
      <w:sz w:val="22"/>
      <w:szCs w:val="22"/>
    </w:rPr>
  </w:style>
  <w:style w:type="paragraph" w:styleId="17">
    <w:name w:val="Plain Text"/>
    <w:basedOn w:val="1"/>
    <w:next w:val="1"/>
    <w:link w:val="233"/>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8">
    <w:name w:val="Date"/>
    <w:basedOn w:val="1"/>
    <w:next w:val="1"/>
    <w:link w:val="234"/>
    <w:qFormat/>
    <w:uiPriority w:val="0"/>
    <w:pPr>
      <w:ind w:left="100"/>
    </w:pPr>
    <w:rPr>
      <w:kern w:val="0"/>
      <w:sz w:val="28"/>
      <w:szCs w:val="20"/>
    </w:rPr>
  </w:style>
  <w:style w:type="paragraph" w:styleId="19">
    <w:name w:val="Body Text Indent 2"/>
    <w:basedOn w:val="1"/>
    <w:link w:val="235"/>
    <w:qFormat/>
    <w:uiPriority w:val="0"/>
    <w:pPr>
      <w:ind w:left="360"/>
    </w:pPr>
    <w:rPr>
      <w:rFonts w:ascii="宋体" w:hAnsi="宋体"/>
      <w:kern w:val="0"/>
      <w:sz w:val="32"/>
      <w:szCs w:val="20"/>
    </w:rPr>
  </w:style>
  <w:style w:type="paragraph" w:styleId="20">
    <w:name w:val="Balloon Text"/>
    <w:basedOn w:val="1"/>
    <w:link w:val="236"/>
    <w:qFormat/>
    <w:uiPriority w:val="99"/>
    <w:rPr>
      <w:kern w:val="0"/>
      <w:sz w:val="18"/>
      <w:szCs w:val="18"/>
    </w:rPr>
  </w:style>
  <w:style w:type="paragraph" w:styleId="21">
    <w:name w:val="footer"/>
    <w:basedOn w:val="1"/>
    <w:link w:val="237"/>
    <w:unhideWhenUsed/>
    <w:qFormat/>
    <w:uiPriority w:val="99"/>
    <w:pPr>
      <w:tabs>
        <w:tab w:val="center" w:pos="4153"/>
        <w:tab w:val="right" w:pos="8306"/>
      </w:tabs>
      <w:snapToGrid w:val="0"/>
      <w:jc w:val="left"/>
    </w:pPr>
    <w:rPr>
      <w:kern w:val="0"/>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23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qFormat/>
    <w:uiPriority w:val="39"/>
    <w:pPr>
      <w:widowControl/>
      <w:spacing w:after="100" w:line="276" w:lineRule="auto"/>
      <w:jc w:val="left"/>
    </w:pPr>
    <w:rPr>
      <w:rFonts w:ascii="Calibri" w:hAnsi="Calibri"/>
      <w:kern w:val="0"/>
      <w:sz w:val="22"/>
      <w:szCs w:val="22"/>
    </w:rPr>
  </w:style>
  <w:style w:type="paragraph" w:styleId="25">
    <w:name w:val="toc 4"/>
    <w:basedOn w:val="1"/>
    <w:next w:val="1"/>
    <w:unhideWhenUsed/>
    <w:qFormat/>
    <w:uiPriority w:val="39"/>
    <w:pPr>
      <w:ind w:left="1260" w:leftChars="600"/>
    </w:pPr>
    <w:rPr>
      <w:szCs w:val="22"/>
    </w:rPr>
  </w:style>
  <w:style w:type="paragraph" w:styleId="26">
    <w:name w:val="List"/>
    <w:basedOn w:val="1"/>
    <w:qFormat/>
    <w:uiPriority w:val="0"/>
    <w:pPr>
      <w:ind w:left="200" w:hanging="200" w:hangingChars="200"/>
    </w:pPr>
    <w:rPr>
      <w:szCs w:val="22"/>
    </w:rPr>
  </w:style>
  <w:style w:type="paragraph" w:styleId="27">
    <w:name w:val="Body Text Indent 3"/>
    <w:basedOn w:val="1"/>
    <w:link w:val="239"/>
    <w:unhideWhenUsed/>
    <w:qFormat/>
    <w:uiPriority w:val="0"/>
    <w:pPr>
      <w:ind w:left="420"/>
    </w:pPr>
    <w:rPr>
      <w:rFonts w:ascii="宋体" w:hAnsi="宋体"/>
      <w:kern w:val="0"/>
      <w:sz w:val="32"/>
      <w:szCs w:val="20"/>
    </w:rPr>
  </w:style>
  <w:style w:type="paragraph" w:styleId="28">
    <w:name w:val="index 9"/>
    <w:basedOn w:val="1"/>
    <w:next w:val="1"/>
    <w:qFormat/>
    <w:uiPriority w:val="0"/>
    <w:pPr>
      <w:ind w:left="1600" w:leftChars="1600"/>
    </w:pPr>
  </w:style>
  <w:style w:type="paragraph" w:styleId="29">
    <w:name w:val="toc 2"/>
    <w:basedOn w:val="1"/>
    <w:next w:val="1"/>
    <w:qFormat/>
    <w:uiPriority w:val="39"/>
    <w:pPr>
      <w:widowControl/>
      <w:spacing w:after="100" w:line="276" w:lineRule="auto"/>
      <w:ind w:left="220"/>
      <w:jc w:val="left"/>
    </w:pPr>
    <w:rPr>
      <w:kern w:val="0"/>
      <w:sz w:val="22"/>
      <w:szCs w:val="22"/>
    </w:rPr>
  </w:style>
  <w:style w:type="paragraph" w:styleId="30">
    <w:name w:val="Body Text 2"/>
    <w:basedOn w:val="1"/>
    <w:link w:val="240"/>
    <w:qFormat/>
    <w:uiPriority w:val="0"/>
    <w:pPr>
      <w:spacing w:after="120" w:line="480" w:lineRule="auto"/>
    </w:pPr>
    <w:rPr>
      <w:kern w:val="0"/>
      <w:sz w:val="20"/>
      <w:szCs w:val="20"/>
    </w:rPr>
  </w:style>
  <w:style w:type="paragraph" w:styleId="31">
    <w:name w:val="HTML Preformatted"/>
    <w:basedOn w:val="1"/>
    <w:link w:val="2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b/>
      <w:kern w:val="0"/>
      <w:sz w:val="24"/>
    </w:rPr>
  </w:style>
  <w:style w:type="paragraph" w:styleId="32">
    <w:name w:val="Normal (Web)"/>
    <w:basedOn w:val="1"/>
    <w:qFormat/>
    <w:uiPriority w:val="99"/>
    <w:pPr>
      <w:spacing w:before="100" w:beforeAutospacing="1" w:after="100" w:afterAutospacing="1"/>
      <w:jc w:val="left"/>
    </w:pPr>
    <w:rPr>
      <w:kern w:val="0"/>
      <w:sz w:val="24"/>
    </w:rPr>
  </w:style>
  <w:style w:type="paragraph" w:styleId="33">
    <w:name w:val="Title"/>
    <w:basedOn w:val="1"/>
    <w:link w:val="242"/>
    <w:qFormat/>
    <w:uiPriority w:val="0"/>
    <w:pPr>
      <w:spacing w:before="240" w:after="60"/>
      <w:jc w:val="center"/>
      <w:outlineLvl w:val="0"/>
    </w:pPr>
    <w:rPr>
      <w:rFonts w:ascii="Cambria" w:hAnsi="Cambria"/>
      <w:b/>
      <w:bCs/>
      <w:kern w:val="0"/>
      <w:sz w:val="32"/>
      <w:szCs w:val="32"/>
    </w:rPr>
  </w:style>
  <w:style w:type="paragraph" w:styleId="34">
    <w:name w:val="annotation subject"/>
    <w:basedOn w:val="12"/>
    <w:next w:val="12"/>
    <w:link w:val="243"/>
    <w:semiHidden/>
    <w:qFormat/>
    <w:uiPriority w:val="0"/>
    <w:rPr>
      <w:b/>
      <w:bCs/>
    </w:rPr>
  </w:style>
  <w:style w:type="paragraph" w:styleId="35">
    <w:name w:val="Body Text First Indent"/>
    <w:basedOn w:val="2"/>
    <w:next w:val="1"/>
    <w:qFormat/>
    <w:uiPriority w:val="0"/>
    <w:pPr>
      <w:spacing w:line="360" w:lineRule="auto"/>
      <w:ind w:firstLine="420"/>
    </w:pPr>
    <w:rPr>
      <w:rFonts w:ascii="宋体" w:hAnsi="宋体"/>
      <w:sz w:val="24"/>
    </w:rPr>
  </w:style>
  <w:style w:type="paragraph" w:styleId="36">
    <w:name w:val="Body Text First Indent 2"/>
    <w:basedOn w:val="14"/>
    <w:next w:val="1"/>
    <w:unhideWhenUsed/>
    <w:qFormat/>
    <w:uiPriority w:val="99"/>
    <w:pPr>
      <w:ind w:firstLine="420" w:firstLineChars="200"/>
    </w:pPr>
    <w:rPr>
      <w:szCs w:val="24"/>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rFonts w:ascii="仿宋_GB2312" w:eastAsia="仿宋_GB2312"/>
      <w:b/>
      <w:sz w:val="32"/>
      <w:szCs w:val="32"/>
    </w:rPr>
  </w:style>
  <w:style w:type="character" w:styleId="41">
    <w:name w:val="page number"/>
    <w:qFormat/>
    <w:uiPriority w:val="0"/>
    <w:rPr>
      <w:rFonts w:ascii="仿宋_GB2312" w:eastAsia="仿宋_GB2312"/>
      <w:b/>
      <w:sz w:val="32"/>
      <w:szCs w:val="32"/>
    </w:rPr>
  </w:style>
  <w:style w:type="character" w:styleId="42">
    <w:name w:val="FollowedHyperlink"/>
    <w:qFormat/>
    <w:uiPriority w:val="0"/>
    <w:rPr>
      <w:rFonts w:ascii="仿宋_GB2312" w:eastAsia="仿宋_GB2312"/>
      <w:b/>
      <w:color w:val="0066CC"/>
      <w:sz w:val="32"/>
      <w:szCs w:val="32"/>
      <w:u w:val="none"/>
    </w:rPr>
  </w:style>
  <w:style w:type="character" w:styleId="43">
    <w:name w:val="Emphasis"/>
    <w:qFormat/>
    <w:uiPriority w:val="0"/>
    <w:rPr>
      <w:rFonts w:ascii="仿宋_GB2312" w:eastAsia="仿宋_GB2312"/>
      <w:b/>
      <w:color w:val="CC0000"/>
      <w:sz w:val="32"/>
      <w:szCs w:val="32"/>
    </w:rPr>
  </w:style>
  <w:style w:type="character" w:styleId="44">
    <w:name w:val="HTML Definition"/>
    <w:basedOn w:val="39"/>
    <w:unhideWhenUsed/>
    <w:qFormat/>
    <w:uiPriority w:val="99"/>
  </w:style>
  <w:style w:type="character" w:styleId="45">
    <w:name w:val="HTML Variable"/>
    <w:basedOn w:val="39"/>
    <w:unhideWhenUsed/>
    <w:qFormat/>
    <w:uiPriority w:val="99"/>
  </w:style>
  <w:style w:type="character" w:styleId="46">
    <w:name w:val="Hyperlink"/>
    <w:qFormat/>
    <w:uiPriority w:val="99"/>
    <w:rPr>
      <w:rFonts w:ascii="仿宋_GB2312" w:eastAsia="仿宋_GB2312"/>
      <w:b/>
      <w:color w:val="0066CC"/>
      <w:sz w:val="32"/>
      <w:szCs w:val="32"/>
      <w:u w:val="none"/>
    </w:rPr>
  </w:style>
  <w:style w:type="character" w:styleId="47">
    <w:name w:val="annotation reference"/>
    <w:qFormat/>
    <w:uiPriority w:val="99"/>
    <w:rPr>
      <w:rFonts w:ascii="仿宋_GB2312" w:eastAsia="仿宋_GB2312"/>
      <w:b/>
      <w:sz w:val="21"/>
      <w:szCs w:val="21"/>
    </w:rPr>
  </w:style>
  <w:style w:type="character" w:styleId="48">
    <w:name w:val="HTML Cite"/>
    <w:qFormat/>
    <w:uiPriority w:val="0"/>
    <w:rPr>
      <w:rFonts w:ascii="仿宋_GB2312" w:eastAsia="仿宋_GB2312"/>
      <w:b/>
      <w:color w:val="008000"/>
      <w:sz w:val="32"/>
      <w:szCs w:val="32"/>
    </w:rPr>
  </w:style>
  <w:style w:type="paragraph" w:customStyle="1" w:styleId="49">
    <w:name w:val="样式1"/>
    <w:basedOn w:val="4"/>
    <w:next w:val="1"/>
    <w:qFormat/>
    <w:uiPriority w:val="0"/>
    <w:pPr>
      <w:spacing w:line="576" w:lineRule="auto"/>
      <w:jc w:val="center"/>
    </w:pPr>
    <w:rPr>
      <w:rFonts w:ascii="Calibri" w:hAnsi="Calibri" w:eastAsia="黑体"/>
    </w:rPr>
  </w:style>
  <w:style w:type="paragraph" w:customStyle="1" w:styleId="50">
    <w:name w:val="正文 "/>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customStyle="1" w:styleId="51">
    <w:name w:val="章正文"/>
    <w:basedOn w:val="1"/>
    <w:qFormat/>
    <w:uiPriority w:val="0"/>
    <w:pPr>
      <w:spacing w:beforeLines="50" w:after="120" w:line="300" w:lineRule="auto"/>
      <w:ind w:firstLine="480"/>
    </w:pPr>
    <w:rPr>
      <w:rFonts w:ascii="Helvetica" w:hAnsi="Helvetica"/>
      <w:kern w:val="0"/>
      <w:sz w:val="24"/>
    </w:rPr>
  </w:style>
  <w:style w:type="paragraph" w:customStyle="1" w:styleId="52">
    <w:name w:val="List Paragraph"/>
    <w:basedOn w:val="1"/>
    <w:link w:val="268"/>
    <w:qFormat/>
    <w:uiPriority w:val="34"/>
    <w:pPr>
      <w:ind w:firstLine="420" w:firstLineChars="200"/>
    </w:pPr>
    <w:rPr>
      <w:szCs w:val="22"/>
    </w:rPr>
  </w:style>
  <w:style w:type="paragraph" w:customStyle="1" w:styleId="53">
    <w:name w:val="工可正文"/>
    <w:basedOn w:val="1"/>
    <w:link w:val="284"/>
    <w:qFormat/>
    <w:uiPriority w:val="0"/>
    <w:pPr>
      <w:spacing w:line="360" w:lineRule="auto"/>
      <w:ind w:firstLine="560" w:firstLineChars="200"/>
    </w:pPr>
    <w:rPr>
      <w:rFonts w:ascii="宋体" w:hAnsi="Courier New"/>
      <w:kern w:val="0"/>
      <w:sz w:val="28"/>
      <w:szCs w:val="20"/>
    </w:rPr>
  </w:style>
  <w:style w:type="paragraph" w:customStyle="1" w:styleId="54">
    <w:name w:val="U_正文"/>
    <w:basedOn w:val="1"/>
    <w:link w:val="290"/>
    <w:qFormat/>
    <w:uiPriority w:val="0"/>
    <w:pPr>
      <w:spacing w:beforeLines="20" w:afterLines="20" w:line="300" w:lineRule="auto"/>
      <w:ind w:firstLine="200" w:firstLineChars="200"/>
    </w:pPr>
    <w:rPr>
      <w:sz w:val="24"/>
      <w:szCs w:val="20"/>
    </w:rPr>
  </w:style>
  <w:style w:type="paragraph" w:customStyle="1" w:styleId="55">
    <w:name w:val="No Spacing"/>
    <w:link w:val="292"/>
    <w:qFormat/>
    <w:uiPriority w:val="1"/>
    <w:rPr>
      <w:rFonts w:ascii="仿宋_GB2312" w:hAnsi="Times New Roman" w:eastAsia="仿宋_GB2312" w:cs="Times New Roman"/>
      <w:b/>
      <w:kern w:val="2"/>
      <w:sz w:val="22"/>
      <w:szCs w:val="22"/>
      <w:lang w:val="en-US" w:eastAsia="zh-CN" w:bidi="ar-SA"/>
    </w:rPr>
  </w:style>
  <w:style w:type="paragraph" w:customStyle="1" w:styleId="56">
    <w:name w:val="样式 样式 首行缩进:  2.25 字符 + 首行缩进:  2.25 字符"/>
    <w:basedOn w:val="1"/>
    <w:link w:val="293"/>
    <w:qFormat/>
    <w:uiPriority w:val="0"/>
    <w:pPr>
      <w:spacing w:line="360" w:lineRule="auto"/>
      <w:ind w:firstLine="420" w:firstLineChars="200"/>
    </w:pPr>
    <w:rPr>
      <w:rFonts w:ascii="宋体" w:hAnsi="宋体"/>
      <w:b/>
      <w:kern w:val="0"/>
      <w:sz w:val="20"/>
      <w:szCs w:val="21"/>
    </w:rPr>
  </w:style>
  <w:style w:type="paragraph" w:customStyle="1" w:styleId="57">
    <w:name w:val="_Style 124"/>
    <w:basedOn w:val="1"/>
    <w:next w:val="1"/>
    <w:link w:val="296"/>
    <w:qFormat/>
    <w:uiPriority w:val="0"/>
    <w:pPr>
      <w:pBdr>
        <w:bottom w:val="single" w:color="auto" w:sz="6" w:space="1"/>
      </w:pBdr>
      <w:jc w:val="center"/>
    </w:pPr>
    <w:rPr>
      <w:rFonts w:ascii="Arial"/>
      <w:vanish/>
      <w:kern w:val="0"/>
      <w:sz w:val="16"/>
    </w:rPr>
  </w:style>
  <w:style w:type="paragraph" w:customStyle="1" w:styleId="58">
    <w:name w:val="U_正文2"/>
    <w:basedOn w:val="1"/>
    <w:link w:val="304"/>
    <w:qFormat/>
    <w:uiPriority w:val="0"/>
    <w:pPr>
      <w:spacing w:beforeLines="10" w:afterLines="10" w:line="300" w:lineRule="auto"/>
    </w:pPr>
    <w:rPr>
      <w:sz w:val="24"/>
      <w:szCs w:val="20"/>
    </w:rPr>
  </w:style>
  <w:style w:type="paragraph" w:customStyle="1" w:styleId="59">
    <w:name w:val="正文2"/>
    <w:basedOn w:val="1"/>
    <w:link w:val="306"/>
    <w:qFormat/>
    <w:uiPriority w:val="0"/>
    <w:pPr>
      <w:spacing w:before="156" w:line="360" w:lineRule="auto"/>
      <w:ind w:firstLine="510" w:firstLineChars="200"/>
    </w:pPr>
    <w:rPr>
      <w:rFonts w:ascii="Calibri" w:hAnsi="Calibri"/>
      <w:kern w:val="0"/>
      <w:sz w:val="24"/>
      <w:szCs w:val="20"/>
    </w:rPr>
  </w:style>
  <w:style w:type="paragraph" w:customStyle="1" w:styleId="60">
    <w:name w:val="_Style 145"/>
    <w:basedOn w:val="1"/>
    <w:next w:val="1"/>
    <w:link w:val="314"/>
    <w:qFormat/>
    <w:uiPriority w:val="0"/>
    <w:pPr>
      <w:pBdr>
        <w:top w:val="single" w:color="auto" w:sz="6" w:space="1"/>
      </w:pBdr>
      <w:jc w:val="center"/>
    </w:pPr>
    <w:rPr>
      <w:rFonts w:ascii="Arial"/>
      <w:vanish/>
      <w:kern w:val="0"/>
      <w:sz w:val="16"/>
    </w:rPr>
  </w:style>
  <w:style w:type="paragraph" w:customStyle="1" w:styleId="61">
    <w:name w:val="xl1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kern w:val="0"/>
      <w:sz w:val="24"/>
    </w:rPr>
  </w:style>
  <w:style w:type="paragraph" w:customStyle="1" w:styleId="62">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3">
    <w:name w:val="et4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64">
    <w:name w:val="style11"/>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65">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
    <w:name w:val="xl110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szCs w:val="20"/>
    </w:rPr>
  </w:style>
  <w:style w:type="paragraph" w:customStyle="1" w:styleId="67">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8">
    <w:name w:val="et4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69">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70">
    <w:name w:val="font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71">
    <w:name w:val="_Style 163"/>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2">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
    <w:name w:val="Char Char Char Char1"/>
    <w:basedOn w:val="1"/>
    <w:qFormat/>
    <w:uiPriority w:val="0"/>
    <w:rPr>
      <w:rFonts w:ascii="Tahoma" w:hAnsi="Tahoma"/>
      <w:sz w:val="24"/>
      <w:szCs w:val="20"/>
    </w:rPr>
  </w:style>
  <w:style w:type="paragraph" w:customStyle="1" w:styleId="74">
    <w:name w:val="Char2"/>
    <w:basedOn w:val="1"/>
    <w:qFormat/>
    <w:uiPriority w:val="0"/>
    <w:rPr>
      <w:rFonts w:ascii="仿宋_GB2312" w:eastAsia="仿宋_GB2312"/>
      <w:b/>
      <w:sz w:val="32"/>
      <w:szCs w:val="32"/>
    </w:rPr>
  </w:style>
  <w:style w:type="paragraph" w:customStyle="1" w:styleId="75">
    <w:name w:val="et10"/>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szCs w:val="20"/>
    </w:rPr>
  </w:style>
  <w:style w:type="paragraph" w:customStyle="1" w:styleId="76">
    <w:name w:val="et31"/>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77">
    <w:name w:val="et2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78">
    <w:name w:val="et1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79">
    <w:name w:val="样式 标题 3 + (中文) 黑体 小四 非加粗 段前: 7.8 磅 段后: 0 磅 行距: 固定值 20 磅"/>
    <w:basedOn w:val="6"/>
    <w:qFormat/>
    <w:uiPriority w:val="0"/>
    <w:pPr>
      <w:autoSpaceDE w:val="0"/>
      <w:autoSpaceDN w:val="0"/>
      <w:adjustRightInd w:val="0"/>
      <w:spacing w:line="400" w:lineRule="exact"/>
      <w:jc w:val="left"/>
    </w:pPr>
    <w:rPr>
      <w:rFonts w:ascii="宋体" w:eastAsia="黑体" w:cs="宋体"/>
      <w:b w:val="0"/>
      <w:kern w:val="0"/>
      <w:sz w:val="24"/>
      <w:szCs w:val="20"/>
    </w:rPr>
  </w:style>
  <w:style w:type="paragraph" w:customStyle="1" w:styleId="80">
    <w:name w:val="et58"/>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81">
    <w:name w:val="xl1129"/>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82">
    <w:name w:val="Char1 Char Char Char"/>
    <w:basedOn w:val="1"/>
    <w:qFormat/>
    <w:uiPriority w:val="0"/>
    <w:rPr>
      <w:rFonts w:ascii="Tahoma" w:hAnsi="Tahoma"/>
      <w:sz w:val="24"/>
      <w:szCs w:val="20"/>
    </w:rPr>
  </w:style>
  <w:style w:type="paragraph" w:customStyle="1" w:styleId="83">
    <w:name w:val="xl1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
    <w:name w:val="et5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85">
    <w:name w:val="et8"/>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8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7">
    <w:name w:val="xl108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et40"/>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89">
    <w:name w:val="et20"/>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szCs w:val="20"/>
    </w:rPr>
  </w:style>
  <w:style w:type="paragraph" w:customStyle="1" w:styleId="90">
    <w:name w:val="et2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91">
    <w:name w:val="et52"/>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szCs w:val="20"/>
    </w:rPr>
  </w:style>
  <w:style w:type="paragraph" w:customStyle="1" w:styleId="92">
    <w:name w:val="xl1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
    <w:name w:val="Char11"/>
    <w:basedOn w:val="1"/>
    <w:qFormat/>
    <w:uiPriority w:val="0"/>
    <w:rPr>
      <w:szCs w:val="22"/>
    </w:rPr>
  </w:style>
  <w:style w:type="paragraph" w:customStyle="1" w:styleId="94">
    <w:name w:val="U_编号2"/>
    <w:basedOn w:val="1"/>
    <w:qFormat/>
    <w:uiPriority w:val="0"/>
    <w:pPr>
      <w:numPr>
        <w:ilvl w:val="0"/>
        <w:numId w:val="1"/>
      </w:numPr>
      <w:spacing w:beforeLines="10" w:afterLines="10" w:line="300" w:lineRule="auto"/>
    </w:pPr>
    <w:rPr>
      <w:sz w:val="24"/>
      <w:szCs w:val="20"/>
    </w:rPr>
  </w:style>
  <w:style w:type="paragraph" w:customStyle="1" w:styleId="95">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6">
    <w:name w:val="Char Char Char Char Char Char2 Char Char Char Char"/>
    <w:basedOn w:val="1"/>
    <w:qFormat/>
    <w:uiPriority w:val="0"/>
  </w:style>
  <w:style w:type="paragraph" w:customStyle="1" w:styleId="97">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98">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9">
    <w:name w:val="font0"/>
    <w:basedOn w:val="1"/>
    <w:qFormat/>
    <w:uiPriority w:val="0"/>
    <w:pPr>
      <w:widowControl/>
      <w:spacing w:before="100" w:beforeAutospacing="1" w:after="100" w:afterAutospacing="1"/>
      <w:jc w:val="left"/>
    </w:pPr>
    <w:rPr>
      <w:rFonts w:ascii="华文细黑" w:hAnsi="华文细黑" w:eastAsia="华文细黑" w:cs="宋体"/>
      <w:color w:val="000000"/>
      <w:kern w:val="0"/>
      <w:sz w:val="18"/>
      <w:szCs w:val="18"/>
      <w:vertAlign w:val="superscript"/>
    </w:rPr>
  </w:style>
  <w:style w:type="paragraph" w:customStyle="1" w:styleId="100">
    <w:name w:val="Char Char Char Char Char Char Char"/>
    <w:basedOn w:val="1"/>
    <w:qFormat/>
    <w:uiPriority w:val="0"/>
    <w:rPr>
      <w:rFonts w:ascii="仿宋_GB2312" w:eastAsia="仿宋_GB2312"/>
      <w:b/>
      <w:sz w:val="32"/>
      <w:szCs w:val="32"/>
    </w:rPr>
  </w:style>
  <w:style w:type="paragraph" w:customStyle="1" w:styleId="101">
    <w:name w:val="Char"/>
    <w:basedOn w:val="1"/>
    <w:qFormat/>
    <w:uiPriority w:val="0"/>
    <w:rPr>
      <w:rFonts w:ascii="仿宋_GB2312" w:eastAsia="仿宋_GB2312"/>
      <w:b/>
      <w:sz w:val="32"/>
      <w:szCs w:val="32"/>
    </w:rPr>
  </w:style>
  <w:style w:type="paragraph" w:customStyle="1" w:styleId="102">
    <w:name w:val="et3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03">
    <w:name w:val="xl1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hAnsi="宋体" w:cs="宋体"/>
      <w:b/>
      <w:bCs/>
      <w:kern w:val="0"/>
      <w:sz w:val="20"/>
      <w:szCs w:val="20"/>
    </w:rPr>
  </w:style>
  <w:style w:type="paragraph" w:customStyle="1" w:styleId="104">
    <w:name w:val="et4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05">
    <w:name w:val="xl1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6">
    <w:name w:val="xl1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40"/>
      <w:szCs w:val="40"/>
    </w:rPr>
  </w:style>
  <w:style w:type="paragraph" w:customStyle="1" w:styleId="107">
    <w:name w:val="et51"/>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08">
    <w:name w:val="Char Char Char Char"/>
    <w:basedOn w:val="1"/>
    <w:qFormat/>
    <w:uiPriority w:val="0"/>
    <w:rPr>
      <w:rFonts w:ascii="Tahoma" w:hAnsi="Tahoma"/>
      <w:sz w:val="24"/>
      <w:szCs w:val="20"/>
    </w:rPr>
  </w:style>
  <w:style w:type="paragraph" w:customStyle="1" w:styleId="109">
    <w:name w:val="et5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10">
    <w:name w:val="et12"/>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szCs w:val="20"/>
    </w:rPr>
  </w:style>
  <w:style w:type="paragraph" w:customStyle="1" w:styleId="111">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112">
    <w:name w:val="正文段"/>
    <w:basedOn w:val="1"/>
    <w:qFormat/>
    <w:uiPriority w:val="0"/>
    <w:pPr>
      <w:widowControl/>
      <w:snapToGrid w:val="0"/>
      <w:spacing w:afterLines="50"/>
      <w:ind w:firstLine="200" w:firstLineChars="200"/>
    </w:pPr>
    <w:rPr>
      <w:kern w:val="0"/>
      <w:sz w:val="24"/>
      <w:szCs w:val="20"/>
    </w:rPr>
  </w:style>
  <w:style w:type="paragraph" w:customStyle="1" w:styleId="113">
    <w:name w:val="Char Char Char Char Char Char Char1"/>
    <w:basedOn w:val="1"/>
    <w:qFormat/>
    <w:uiPriority w:val="0"/>
    <w:rPr>
      <w:rFonts w:ascii="仿宋_GB2312" w:eastAsia="仿宋_GB2312"/>
      <w:b/>
      <w:sz w:val="32"/>
      <w:szCs w:val="32"/>
    </w:rPr>
  </w:style>
  <w:style w:type="paragraph" w:customStyle="1" w:styleId="114">
    <w:name w:val="et4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15">
    <w:name w:val="xl1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et3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17">
    <w:name w:val="et53"/>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szCs w:val="20"/>
    </w:rPr>
  </w:style>
  <w:style w:type="paragraph" w:customStyle="1" w:styleId="118">
    <w:name w:val="et50"/>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19">
    <w:name w:val="et35"/>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20">
    <w:name w:val="et56"/>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szCs w:val="20"/>
    </w:rPr>
  </w:style>
  <w:style w:type="paragraph" w:customStyle="1" w:styleId="121">
    <w:name w:val="et2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22">
    <w:name w:val="xl1113"/>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23">
    <w:name w:val="et30"/>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24">
    <w:name w:val="xl1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5">
    <w:name w:val="et3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26">
    <w:name w:val="xl10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列出段落11"/>
    <w:basedOn w:val="1"/>
    <w:qFormat/>
    <w:uiPriority w:val="34"/>
    <w:pPr>
      <w:spacing w:line="360" w:lineRule="auto"/>
      <w:ind w:firstLine="420" w:firstLineChars="200"/>
    </w:pPr>
    <w:rPr>
      <w:rFonts w:ascii="Calibri" w:hAnsi="Calibri"/>
      <w:sz w:val="24"/>
      <w:szCs w:val="22"/>
    </w:rPr>
  </w:style>
  <w:style w:type="paragraph" w:customStyle="1" w:styleId="128">
    <w:name w:val="Char Char Char Char Char Char Char2"/>
    <w:basedOn w:val="1"/>
    <w:qFormat/>
    <w:uiPriority w:val="0"/>
    <w:rPr>
      <w:rFonts w:ascii="仿宋_GB2312" w:eastAsia="仿宋_GB2312"/>
      <w:b/>
      <w:sz w:val="32"/>
      <w:szCs w:val="32"/>
    </w:rPr>
  </w:style>
  <w:style w:type="paragraph" w:customStyle="1" w:styleId="129">
    <w:name w:val="et25"/>
    <w:basedOn w:val="1"/>
    <w:qFormat/>
    <w:uiPriority w:val="0"/>
    <w:pPr>
      <w:widowControl/>
      <w:spacing w:before="100" w:beforeAutospacing="1" w:after="100" w:afterAutospacing="1"/>
      <w:jc w:val="left"/>
      <w:textAlignment w:val="bottom"/>
    </w:pPr>
    <w:rPr>
      <w:color w:val="000000"/>
      <w:kern w:val="0"/>
      <w:sz w:val="22"/>
      <w:szCs w:val="22"/>
    </w:rPr>
  </w:style>
  <w:style w:type="paragraph" w:customStyle="1" w:styleId="130">
    <w:name w:val="Char23"/>
    <w:basedOn w:val="1"/>
    <w:qFormat/>
    <w:uiPriority w:val="0"/>
    <w:rPr>
      <w:rFonts w:ascii="仿宋_GB2312" w:eastAsia="仿宋_GB2312"/>
      <w:b/>
      <w:sz w:val="32"/>
      <w:szCs w:val="32"/>
    </w:rPr>
  </w:style>
  <w:style w:type="paragraph" w:customStyle="1" w:styleId="131">
    <w:name w:val="et11"/>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szCs w:val="20"/>
    </w:rPr>
  </w:style>
  <w:style w:type="paragraph" w:customStyle="1" w:styleId="132">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133">
    <w:name w:val="xl109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cs="宋体"/>
      <w:b/>
      <w:bCs/>
      <w:kern w:val="0"/>
      <w:sz w:val="20"/>
      <w:szCs w:val="20"/>
    </w:rPr>
  </w:style>
  <w:style w:type="paragraph" w:customStyle="1" w:styleId="134">
    <w:name w:val="xl1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5">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36">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37">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38">
    <w:name w:val="font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3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0">
    <w:name w:val="et28"/>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szCs w:val="20"/>
    </w:rPr>
  </w:style>
  <w:style w:type="paragraph" w:customStyle="1" w:styleId="141">
    <w:name w:val="font7"/>
    <w:basedOn w:val="1"/>
    <w:qFormat/>
    <w:uiPriority w:val="0"/>
    <w:pPr>
      <w:widowControl/>
      <w:spacing w:before="100" w:beforeAutospacing="1" w:after="100" w:afterAutospacing="1"/>
      <w:jc w:val="left"/>
    </w:pPr>
    <w:rPr>
      <w:kern w:val="0"/>
      <w:sz w:val="20"/>
      <w:szCs w:val="20"/>
    </w:rPr>
  </w:style>
  <w:style w:type="paragraph" w:customStyle="1" w:styleId="142">
    <w:name w:val="Char Char Char"/>
    <w:basedOn w:val="1"/>
    <w:qFormat/>
    <w:uiPriority w:val="0"/>
    <w:rPr>
      <w:szCs w:val="22"/>
    </w:rPr>
  </w:style>
  <w:style w:type="paragraph" w:customStyle="1" w:styleId="143">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144">
    <w:name w:val="xl1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40"/>
      <w:szCs w:val="40"/>
    </w:rPr>
  </w:style>
  <w:style w:type="paragraph" w:customStyle="1" w:styleId="145">
    <w:name w:val="xl1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46">
    <w:name w:val="Char13"/>
    <w:basedOn w:val="1"/>
    <w:qFormat/>
    <w:uiPriority w:val="0"/>
    <w:rPr>
      <w:szCs w:val="22"/>
    </w:rPr>
  </w:style>
  <w:style w:type="paragraph" w:customStyle="1" w:styleId="147">
    <w:name w:val="et1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48">
    <w:name w:val="TOC 标题1"/>
    <w:basedOn w:val="4"/>
    <w:next w:val="1"/>
    <w:qFormat/>
    <w:uiPriority w:val="0"/>
    <w:pPr>
      <w:widowControl/>
      <w:spacing w:before="0" w:after="0" w:line="276" w:lineRule="auto"/>
      <w:jc w:val="left"/>
      <w:outlineLvl w:val="9"/>
    </w:pPr>
    <w:rPr>
      <w:rFonts w:ascii="Cambria" w:hAnsi="Cambria"/>
      <w:color w:val="365F91"/>
      <w:kern w:val="0"/>
      <w:sz w:val="28"/>
      <w:szCs w:val="28"/>
    </w:rPr>
  </w:style>
  <w:style w:type="paragraph" w:customStyle="1" w:styleId="149">
    <w:name w:val="et4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50">
    <w:name w:val="et48"/>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51">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2">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kern w:val="2"/>
      <w:sz w:val="28"/>
      <w:szCs w:val="20"/>
      <w:lang w:val="en-US" w:eastAsia="zh-CN"/>
    </w:rPr>
  </w:style>
  <w:style w:type="paragraph" w:customStyle="1" w:styleId="153">
    <w:name w:val="et41"/>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szCs w:val="20"/>
    </w:rPr>
  </w:style>
  <w:style w:type="paragraph" w:customStyle="1" w:styleId="154">
    <w:name w:val="xl110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20"/>
      <w:szCs w:val="20"/>
    </w:rPr>
  </w:style>
  <w:style w:type="paragraph" w:customStyle="1" w:styleId="155">
    <w:name w:val="xl108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szCs w:val="20"/>
    </w:rPr>
  </w:style>
  <w:style w:type="paragraph" w:customStyle="1" w:styleId="156">
    <w:name w:val="et9"/>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7">
    <w:name w:val="默认段落字体 Para Char Char Char Char Char Char Char Char Char1 Char Char Char Char"/>
    <w:basedOn w:val="1"/>
    <w:qFormat/>
    <w:uiPriority w:val="0"/>
    <w:rPr>
      <w:rFonts w:ascii="Tahoma" w:hAnsi="Tahoma"/>
      <w:sz w:val="24"/>
      <w:szCs w:val="20"/>
    </w:rPr>
  </w:style>
  <w:style w:type="paragraph" w:customStyle="1" w:styleId="158">
    <w:name w:val="et1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59">
    <w:name w:val="正文（缩进）"/>
    <w:basedOn w:val="1"/>
    <w:qFormat/>
    <w:uiPriority w:val="0"/>
    <w:pPr>
      <w:widowControl/>
      <w:spacing w:before="156" w:after="156"/>
      <w:ind w:firstLine="480" w:firstLineChars="200"/>
      <w:jc w:val="left"/>
    </w:pPr>
    <w:rPr>
      <w:rFonts w:ascii="Arial" w:eastAsia="Arial"/>
      <w:kern w:val="0"/>
      <w:sz w:val="24"/>
    </w:rPr>
  </w:style>
  <w:style w:type="paragraph" w:customStyle="1" w:styleId="160">
    <w:name w:val="2"/>
    <w:basedOn w:val="1"/>
    <w:next w:val="1"/>
    <w:qFormat/>
    <w:uiPriority w:val="0"/>
    <w:rPr>
      <w:rFonts w:ascii="Calibri" w:hAnsi="Calibri" w:eastAsia="仿宋_GB2312"/>
      <w:sz w:val="18"/>
      <w:szCs w:val="20"/>
    </w:rPr>
  </w:style>
  <w:style w:type="paragraph" w:customStyle="1" w:styleId="161">
    <w:name w:val="Char Char Char Char2"/>
    <w:basedOn w:val="1"/>
    <w:qFormat/>
    <w:uiPriority w:val="0"/>
    <w:rPr>
      <w:rFonts w:ascii="Tahoma" w:hAnsi="Tahoma"/>
      <w:sz w:val="24"/>
      <w:szCs w:val="20"/>
    </w:rPr>
  </w:style>
  <w:style w:type="paragraph" w:customStyle="1" w:styleId="162">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3">
    <w:name w:val="Char Char"/>
    <w:basedOn w:val="1"/>
    <w:qFormat/>
    <w:uiPriority w:val="0"/>
    <w:pPr>
      <w:spacing w:line="360" w:lineRule="auto"/>
    </w:pPr>
    <w:rPr>
      <w:rFonts w:ascii="Tahoma" w:hAnsi="Tahoma"/>
      <w:sz w:val="24"/>
      <w:szCs w:val="20"/>
    </w:rPr>
  </w:style>
  <w:style w:type="paragraph" w:customStyle="1" w:styleId="164">
    <w:name w:val="xl1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66">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7">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8">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9">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0">
    <w:name w:val="xl109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71">
    <w:name w:val="et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72">
    <w:name w:val="et2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73">
    <w:name w:val="Char Char Char Char Char Char2 Char Char Char Char1"/>
    <w:basedOn w:val="1"/>
    <w:qFormat/>
    <w:uiPriority w:val="0"/>
  </w:style>
  <w:style w:type="paragraph" w:customStyle="1" w:styleId="174">
    <w:name w:val="xl110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75">
    <w:name w:val="et3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et2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79">
    <w:name w:val="et1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8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182">
    <w:name w:val="Char5"/>
    <w:basedOn w:val="1"/>
    <w:qFormat/>
    <w:uiPriority w:val="0"/>
    <w:rPr>
      <w:rFonts w:ascii="Tahoma" w:hAnsi="Tahoma"/>
      <w:sz w:val="24"/>
      <w:szCs w:val="20"/>
    </w:rPr>
  </w:style>
  <w:style w:type="paragraph" w:customStyle="1" w:styleId="183">
    <w:name w:val="style17"/>
    <w:basedOn w:val="1"/>
    <w:qFormat/>
    <w:uiPriority w:val="0"/>
    <w:pPr>
      <w:widowControl/>
      <w:spacing w:before="100" w:beforeAutospacing="1" w:after="100" w:afterAutospacing="1"/>
      <w:jc w:val="left"/>
    </w:pPr>
    <w:rPr>
      <w:rFonts w:ascii="宋体" w:hAnsi="宋体" w:cs="宋体"/>
      <w:b/>
      <w:bCs/>
      <w:color w:val="000000"/>
      <w:kern w:val="0"/>
      <w:sz w:val="24"/>
      <w:szCs w:val="22"/>
    </w:rPr>
  </w:style>
  <w:style w:type="paragraph" w:customStyle="1" w:styleId="184">
    <w:name w:val="xl1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85">
    <w:name w:val="xl11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186">
    <w:name w:val="Char Char Char Char Char Char2 Char Char Char Char2"/>
    <w:basedOn w:val="1"/>
    <w:qFormat/>
    <w:uiPriority w:val="0"/>
  </w:style>
  <w:style w:type="paragraph" w:customStyle="1" w:styleId="187">
    <w:name w:val="et4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88">
    <w:name w:val="et5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89">
    <w:name w:val="Table Paragraph"/>
    <w:basedOn w:val="1"/>
    <w:unhideWhenUsed/>
    <w:qFormat/>
    <w:uiPriority w:val="1"/>
    <w:pPr>
      <w:autoSpaceDE w:val="0"/>
      <w:autoSpaceDN w:val="0"/>
      <w:adjustRightInd w:val="0"/>
      <w:jc w:val="left"/>
    </w:pPr>
    <w:rPr>
      <w:kern w:val="0"/>
      <w:sz w:val="24"/>
    </w:rPr>
  </w:style>
  <w:style w:type="paragraph" w:customStyle="1" w:styleId="190">
    <w:name w:val="et4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91">
    <w:name w:val="xl1128"/>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192">
    <w:name w:val="xl112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rPr>
  </w:style>
  <w:style w:type="paragraph" w:customStyle="1" w:styleId="193">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4">
    <w:name w:val="xl111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rPr>
  </w:style>
  <w:style w:type="paragraph" w:customStyle="1" w:styleId="19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6">
    <w:name w:val="Char Char2 Char Char"/>
    <w:basedOn w:val="1"/>
    <w:qFormat/>
    <w:uiPriority w:val="0"/>
    <w:rPr>
      <w:rFonts w:ascii="Tahoma" w:hAnsi="Tahoma"/>
      <w:sz w:val="24"/>
      <w:szCs w:val="20"/>
    </w:rPr>
  </w:style>
  <w:style w:type="paragraph" w:customStyle="1" w:styleId="197">
    <w:name w:val="et1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98">
    <w:name w:val="标题6"/>
    <w:basedOn w:val="1"/>
    <w:next w:val="4"/>
    <w:qFormat/>
    <w:uiPriority w:val="0"/>
    <w:pPr>
      <w:widowControl/>
      <w:snapToGrid w:val="0"/>
      <w:spacing w:beforeLines="50" w:afterLines="50" w:line="520" w:lineRule="atLeast"/>
      <w:ind w:firstLine="200" w:firstLineChars="200"/>
    </w:pPr>
    <w:rPr>
      <w:rFonts w:ascii="Calibri" w:hAnsi="Calibri" w:cs="Arial"/>
      <w:b/>
      <w:sz w:val="24"/>
    </w:rPr>
  </w:style>
  <w:style w:type="paragraph" w:customStyle="1" w:styleId="199">
    <w:name w:val="et1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00">
    <w:name w:val="et2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01">
    <w:name w:val="Char3"/>
    <w:basedOn w:val="1"/>
    <w:qFormat/>
    <w:uiPriority w:val="0"/>
    <w:rPr>
      <w:rFonts w:ascii="Tahoma" w:hAnsi="Tahoma"/>
      <w:sz w:val="24"/>
      <w:szCs w:val="20"/>
    </w:rPr>
  </w:style>
  <w:style w:type="paragraph" w:customStyle="1" w:styleId="202">
    <w:name w:val="et21"/>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03">
    <w:name w:val="xl10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szCs w:val="20"/>
    </w:rPr>
  </w:style>
  <w:style w:type="paragraph" w:customStyle="1" w:styleId="204">
    <w:name w:val="Char1"/>
    <w:basedOn w:val="1"/>
    <w:qFormat/>
    <w:uiPriority w:val="0"/>
    <w:rPr>
      <w:rFonts w:ascii="仿宋_GB2312" w:eastAsia="仿宋_GB2312"/>
      <w:b/>
      <w:sz w:val="32"/>
      <w:szCs w:val="32"/>
    </w:rPr>
  </w:style>
  <w:style w:type="paragraph" w:customStyle="1" w:styleId="205">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206">
    <w:name w:val="et3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07">
    <w:name w:val="文档正文"/>
    <w:basedOn w:val="1"/>
    <w:qFormat/>
    <w:uiPriority w:val="0"/>
    <w:pPr>
      <w:adjustRightInd w:val="0"/>
      <w:spacing w:line="480" w:lineRule="atLeast"/>
      <w:ind w:firstLine="567" w:firstLineChars="200"/>
      <w:textAlignment w:val="baseline"/>
    </w:pPr>
    <w:rPr>
      <w:rFonts w:ascii="长城仿宋" w:eastAsia="长城仿宋"/>
      <w:kern w:val="0"/>
      <w:sz w:val="28"/>
      <w:szCs w:val="20"/>
    </w:rPr>
  </w:style>
  <w:style w:type="paragraph" w:customStyle="1" w:styleId="20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9">
    <w:name w:val="Char22"/>
    <w:basedOn w:val="1"/>
    <w:qFormat/>
    <w:uiPriority w:val="0"/>
    <w:rPr>
      <w:rFonts w:ascii="仿宋_GB2312" w:eastAsia="仿宋_GB2312"/>
      <w:b/>
      <w:sz w:val="32"/>
      <w:szCs w:val="32"/>
    </w:rPr>
  </w:style>
  <w:style w:type="paragraph" w:customStyle="1" w:styleId="210">
    <w:name w:val="et38"/>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szCs w:val="20"/>
    </w:rPr>
  </w:style>
  <w:style w:type="paragraph" w:customStyle="1" w:styleId="211">
    <w:name w:val="et18"/>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12">
    <w:name w:val="xl112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 w:val="24"/>
    </w:rPr>
  </w:style>
  <w:style w:type="paragraph" w:customStyle="1" w:styleId="213">
    <w:name w:val="Char21"/>
    <w:basedOn w:val="1"/>
    <w:qFormat/>
    <w:uiPriority w:val="0"/>
    <w:rPr>
      <w:rFonts w:ascii="仿宋_GB2312" w:eastAsia="仿宋_GB2312"/>
      <w:b/>
      <w:sz w:val="32"/>
      <w:szCs w:val="32"/>
    </w:rPr>
  </w:style>
  <w:style w:type="paragraph" w:customStyle="1" w:styleId="214">
    <w:name w:val="无格式"/>
    <w:next w:val="1"/>
    <w:qFormat/>
    <w:uiPriority w:val="0"/>
    <w:pPr>
      <w:jc w:val="both"/>
    </w:pPr>
    <w:rPr>
      <w:rFonts w:ascii="Times New Roman" w:hAnsi="Times New Roman" w:eastAsia="宋体" w:cs="Times New Roman"/>
      <w:bCs/>
      <w:kern w:val="2"/>
      <w:sz w:val="24"/>
      <w:szCs w:val="24"/>
      <w:lang w:val="en-US" w:eastAsia="zh-CN" w:bidi="ar-SA"/>
    </w:rPr>
  </w:style>
  <w:style w:type="paragraph" w:customStyle="1" w:styleId="215">
    <w:name w:val="xl1124"/>
    <w:basedOn w:val="1"/>
    <w:qFormat/>
    <w:uiPriority w:val="0"/>
    <w:pPr>
      <w:widowControl/>
      <w:spacing w:before="100" w:beforeAutospacing="1" w:after="100" w:afterAutospacing="1"/>
      <w:jc w:val="left"/>
    </w:pPr>
    <w:rPr>
      <w:rFonts w:ascii="宋体" w:hAnsi="宋体" w:cs="宋体"/>
      <w:kern w:val="0"/>
      <w:sz w:val="24"/>
    </w:rPr>
  </w:style>
  <w:style w:type="paragraph" w:customStyle="1" w:styleId="216">
    <w:name w:val="Char12"/>
    <w:basedOn w:val="1"/>
    <w:qFormat/>
    <w:uiPriority w:val="0"/>
    <w:rPr>
      <w:szCs w:val="22"/>
    </w:rPr>
  </w:style>
  <w:style w:type="paragraph" w:customStyle="1" w:styleId="217">
    <w:name w:val="Char Char Char Char Char Char Char3"/>
    <w:basedOn w:val="1"/>
    <w:qFormat/>
    <w:uiPriority w:val="0"/>
    <w:pPr>
      <w:widowControl/>
      <w:spacing w:after="160" w:line="240" w:lineRule="exact"/>
      <w:jc w:val="left"/>
    </w:pPr>
    <w:rPr>
      <w:rFonts w:ascii="Verdana" w:hAnsi="Verdana"/>
      <w:kern w:val="0"/>
      <w:lang w:eastAsia="en-US"/>
    </w:rPr>
  </w:style>
  <w:style w:type="paragraph" w:customStyle="1" w:styleId="218">
    <w:name w:val="et3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19">
    <w:name w:val="列出段落1"/>
    <w:basedOn w:val="1"/>
    <w:qFormat/>
    <w:uiPriority w:val="34"/>
    <w:pPr>
      <w:ind w:firstLine="420" w:firstLineChars="200"/>
    </w:pPr>
    <w:rPr>
      <w:rFonts w:ascii="Calibri" w:hAnsi="Calibri" w:cs="Calibri"/>
    </w:rPr>
  </w:style>
  <w:style w:type="paragraph" w:customStyle="1" w:styleId="220">
    <w:name w:val="Char4"/>
    <w:basedOn w:val="1"/>
    <w:qFormat/>
    <w:uiPriority w:val="0"/>
    <w:rPr>
      <w:rFonts w:ascii="Tahoma" w:hAnsi="Tahoma"/>
      <w:sz w:val="24"/>
      <w:szCs w:val="20"/>
    </w:rPr>
  </w:style>
  <w:style w:type="paragraph" w:customStyle="1" w:styleId="221">
    <w:name w:val="xl1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23">
    <w:name w:val="标题 1 Char"/>
    <w:link w:val="4"/>
    <w:qFormat/>
    <w:uiPriority w:val="9"/>
    <w:rPr>
      <w:rFonts w:ascii="Times New Roman" w:hAnsi="Times New Roman" w:eastAsia="宋体" w:cs="Times New Roman"/>
      <w:b/>
      <w:bCs/>
      <w:kern w:val="44"/>
      <w:sz w:val="44"/>
      <w:szCs w:val="44"/>
    </w:rPr>
  </w:style>
  <w:style w:type="character" w:customStyle="1" w:styleId="224">
    <w:name w:val="标题 2 Char"/>
    <w:link w:val="5"/>
    <w:qFormat/>
    <w:uiPriority w:val="0"/>
    <w:rPr>
      <w:rFonts w:ascii="Cambria" w:hAnsi="Cambria" w:eastAsia="宋体" w:cs="Times New Roman"/>
      <w:b/>
      <w:bCs/>
      <w:kern w:val="0"/>
      <w:sz w:val="32"/>
      <w:szCs w:val="32"/>
    </w:rPr>
  </w:style>
  <w:style w:type="character" w:customStyle="1" w:styleId="225">
    <w:name w:val="标题 3 Char"/>
    <w:link w:val="6"/>
    <w:semiHidden/>
    <w:qFormat/>
    <w:uiPriority w:val="9"/>
    <w:rPr>
      <w:rFonts w:ascii="Times New Roman" w:hAnsi="Times New Roman"/>
      <w:b/>
      <w:bCs/>
      <w:kern w:val="2"/>
      <w:sz w:val="32"/>
      <w:szCs w:val="32"/>
    </w:rPr>
  </w:style>
  <w:style w:type="character" w:customStyle="1" w:styleId="226">
    <w:name w:val="标题 4 Char"/>
    <w:link w:val="7"/>
    <w:qFormat/>
    <w:uiPriority w:val="0"/>
    <w:rPr>
      <w:rFonts w:ascii="Arial" w:hAnsi="Arial" w:eastAsia="黑体" w:cs="Arial"/>
      <w:b/>
      <w:bCs/>
      <w:sz w:val="28"/>
      <w:szCs w:val="28"/>
    </w:rPr>
  </w:style>
  <w:style w:type="character" w:customStyle="1" w:styleId="227">
    <w:name w:val="正文缩进 Char"/>
    <w:link w:val="8"/>
    <w:qFormat/>
    <w:uiPriority w:val="0"/>
    <w:rPr>
      <w:rFonts w:ascii="Times New Roman" w:hAnsi="Times New Roman" w:eastAsia="宋体" w:cs="Times New Roman"/>
      <w:szCs w:val="20"/>
    </w:rPr>
  </w:style>
  <w:style w:type="character" w:customStyle="1" w:styleId="228">
    <w:name w:val="文档结构图 Char"/>
    <w:link w:val="10"/>
    <w:qFormat/>
    <w:uiPriority w:val="0"/>
    <w:rPr>
      <w:rFonts w:ascii="宋体"/>
      <w:sz w:val="18"/>
      <w:szCs w:val="18"/>
    </w:rPr>
  </w:style>
  <w:style w:type="character" w:customStyle="1" w:styleId="229">
    <w:name w:val="批注文字 Char"/>
    <w:link w:val="12"/>
    <w:qFormat/>
    <w:uiPriority w:val="0"/>
    <w:rPr>
      <w:rFonts w:ascii="Times New Roman" w:hAnsi="Times New Roman" w:eastAsia="宋体" w:cs="Times New Roman"/>
      <w:szCs w:val="24"/>
    </w:rPr>
  </w:style>
  <w:style w:type="character" w:customStyle="1" w:styleId="230">
    <w:name w:val="正文文本 3 Char"/>
    <w:link w:val="13"/>
    <w:qFormat/>
    <w:uiPriority w:val="0"/>
    <w:rPr>
      <w:rFonts w:ascii="仿宋_GB2312" w:eastAsia="仿宋_GB2312"/>
      <w:b/>
      <w:sz w:val="16"/>
      <w:szCs w:val="16"/>
    </w:rPr>
  </w:style>
  <w:style w:type="character" w:customStyle="1" w:styleId="231">
    <w:name w:val="正文文本 Char"/>
    <w:link w:val="2"/>
    <w:qFormat/>
    <w:uiPriority w:val="0"/>
    <w:rPr>
      <w:rFonts w:ascii="Times New Roman" w:hAnsi="Times New Roman" w:eastAsia="宋体" w:cs="Times New Roman"/>
      <w:sz w:val="32"/>
    </w:rPr>
  </w:style>
  <w:style w:type="character" w:customStyle="1" w:styleId="232">
    <w:name w:val="正文文本缩进 Char"/>
    <w:link w:val="14"/>
    <w:qFormat/>
    <w:uiPriority w:val="0"/>
    <w:rPr>
      <w:sz w:val="28"/>
    </w:rPr>
  </w:style>
  <w:style w:type="character" w:customStyle="1" w:styleId="233">
    <w:name w:val="纯文本 Char"/>
    <w:link w:val="17"/>
    <w:qFormat/>
    <w:uiPriority w:val="0"/>
    <w:rPr>
      <w:rFonts w:ascii="宋体" w:hAnsi="Courier New"/>
      <w:lang w:val="en-US" w:eastAsia="zh-CN"/>
    </w:rPr>
  </w:style>
  <w:style w:type="character" w:customStyle="1" w:styleId="234">
    <w:name w:val="日期 Char"/>
    <w:link w:val="18"/>
    <w:qFormat/>
    <w:uiPriority w:val="0"/>
    <w:rPr>
      <w:rFonts w:ascii="Times New Roman" w:hAnsi="Times New Roman" w:eastAsia="宋体" w:cs="Times New Roman"/>
      <w:sz w:val="28"/>
      <w:szCs w:val="20"/>
    </w:rPr>
  </w:style>
  <w:style w:type="character" w:customStyle="1" w:styleId="235">
    <w:name w:val="正文文本缩进 2 Char"/>
    <w:link w:val="19"/>
    <w:qFormat/>
    <w:uiPriority w:val="0"/>
    <w:rPr>
      <w:rFonts w:ascii="宋体" w:hAnsi="宋体" w:eastAsia="宋体" w:cs="Times New Roman"/>
      <w:sz w:val="32"/>
    </w:rPr>
  </w:style>
  <w:style w:type="character" w:customStyle="1" w:styleId="236">
    <w:name w:val="批注框文本 Char"/>
    <w:link w:val="20"/>
    <w:semiHidden/>
    <w:qFormat/>
    <w:uiPriority w:val="99"/>
    <w:rPr>
      <w:rFonts w:ascii="Times New Roman" w:hAnsi="Times New Roman" w:eastAsia="宋体" w:cs="Times New Roman"/>
      <w:sz w:val="18"/>
      <w:szCs w:val="18"/>
    </w:rPr>
  </w:style>
  <w:style w:type="character" w:customStyle="1" w:styleId="237">
    <w:name w:val="页脚 Char"/>
    <w:link w:val="21"/>
    <w:qFormat/>
    <w:uiPriority w:val="99"/>
    <w:rPr>
      <w:sz w:val="18"/>
      <w:szCs w:val="18"/>
    </w:rPr>
  </w:style>
  <w:style w:type="character" w:customStyle="1" w:styleId="238">
    <w:name w:val="页眉 Char"/>
    <w:link w:val="23"/>
    <w:qFormat/>
    <w:uiPriority w:val="0"/>
    <w:rPr>
      <w:sz w:val="18"/>
      <w:szCs w:val="18"/>
    </w:rPr>
  </w:style>
  <w:style w:type="character" w:customStyle="1" w:styleId="239">
    <w:name w:val="正文文本缩进 3 Char"/>
    <w:link w:val="27"/>
    <w:qFormat/>
    <w:uiPriority w:val="0"/>
    <w:rPr>
      <w:rFonts w:ascii="宋体" w:hAnsi="宋体"/>
      <w:sz w:val="32"/>
    </w:rPr>
  </w:style>
  <w:style w:type="character" w:customStyle="1" w:styleId="240">
    <w:name w:val="正文文本 2 Char"/>
    <w:link w:val="30"/>
    <w:qFormat/>
    <w:uiPriority w:val="0"/>
    <w:rPr>
      <w:rFonts w:ascii="Times New Roman" w:hAnsi="Times New Roman" w:eastAsia="宋体" w:cs="Times New Roman"/>
    </w:rPr>
  </w:style>
  <w:style w:type="character" w:customStyle="1" w:styleId="241">
    <w:name w:val="HTML 预设格式 Char"/>
    <w:link w:val="31"/>
    <w:qFormat/>
    <w:uiPriority w:val="99"/>
    <w:rPr>
      <w:rFonts w:ascii="Arial" w:hAnsi="Arial" w:eastAsia="仿宋_GB2312" w:cs="Arial"/>
      <w:b/>
      <w:sz w:val="24"/>
      <w:szCs w:val="24"/>
    </w:rPr>
  </w:style>
  <w:style w:type="character" w:customStyle="1" w:styleId="242">
    <w:name w:val="标题 Char"/>
    <w:link w:val="33"/>
    <w:qFormat/>
    <w:uiPriority w:val="0"/>
    <w:rPr>
      <w:rFonts w:ascii="Cambria" w:hAnsi="Cambria"/>
      <w:b/>
      <w:bCs/>
      <w:sz w:val="32"/>
      <w:szCs w:val="32"/>
    </w:rPr>
  </w:style>
  <w:style w:type="character" w:customStyle="1" w:styleId="243">
    <w:name w:val="批注主题 Char"/>
    <w:link w:val="34"/>
    <w:semiHidden/>
    <w:qFormat/>
    <w:uiPriority w:val="0"/>
    <w:rPr>
      <w:rFonts w:ascii="Times New Roman" w:hAnsi="Times New Roman" w:eastAsia="宋体" w:cs="Times New Roman"/>
      <w:b/>
      <w:bCs/>
      <w:szCs w:val="24"/>
    </w:rPr>
  </w:style>
  <w:style w:type="character" w:customStyle="1" w:styleId="244">
    <w:name w:val="正文文本缩进 Char1"/>
    <w:qFormat/>
    <w:uiPriority w:val="0"/>
    <w:rPr>
      <w:rFonts w:ascii="仿宋_GB2312" w:eastAsia="仿宋_GB2312"/>
      <w:b/>
      <w:kern w:val="2"/>
      <w:sz w:val="21"/>
      <w:szCs w:val="24"/>
    </w:rPr>
  </w:style>
  <w:style w:type="character" w:customStyle="1" w:styleId="245">
    <w:name w:val="font61"/>
    <w:qFormat/>
    <w:uiPriority w:val="0"/>
    <w:rPr>
      <w:rFonts w:hint="eastAsia" w:ascii="宋体" w:hAnsi="宋体" w:eastAsia="宋体"/>
      <w:color w:val="000000"/>
      <w:sz w:val="22"/>
      <w:szCs w:val="22"/>
      <w:u w:val="none"/>
    </w:rPr>
  </w:style>
  <w:style w:type="character" w:customStyle="1" w:styleId="246">
    <w:name w:val="style2 bin1"/>
    <w:qFormat/>
    <w:uiPriority w:val="0"/>
    <w:rPr>
      <w:rFonts w:ascii="仿宋_GB2312" w:eastAsia="仿宋_GB2312"/>
      <w:b/>
      <w:sz w:val="32"/>
      <w:szCs w:val="32"/>
    </w:rPr>
  </w:style>
  <w:style w:type="character" w:customStyle="1" w:styleId="247">
    <w:name w:val="jedateymchok"/>
    <w:basedOn w:val="39"/>
    <w:qFormat/>
    <w:uiPriority w:val="0"/>
    <w:rPr>
      <w:color w:val="FFFFFF"/>
      <w:sz w:val="14"/>
      <w:szCs w:val="14"/>
      <w:shd w:val="clear" w:color="auto" w:fill="1065C2"/>
    </w:rPr>
  </w:style>
  <w:style w:type="character" w:customStyle="1" w:styleId="248">
    <w:name w:val="批注文字 Char1"/>
    <w:qFormat/>
    <w:uiPriority w:val="0"/>
    <w:rPr>
      <w:rFonts w:ascii="仿宋_GB2312" w:eastAsia="仿宋_GB2312"/>
      <w:b/>
      <w:kern w:val="2"/>
      <w:sz w:val="21"/>
      <w:szCs w:val="24"/>
    </w:rPr>
  </w:style>
  <w:style w:type="character" w:customStyle="1" w:styleId="249">
    <w:name w:val="selectedtreerow_lor5"/>
    <w:basedOn w:val="39"/>
    <w:qFormat/>
    <w:uiPriority w:val="0"/>
    <w:rPr>
      <w:color w:val="000000"/>
      <w:shd w:val="clear" w:color="auto" w:fill="85D3FF"/>
    </w:rPr>
  </w:style>
  <w:style w:type="character" w:customStyle="1" w:styleId="250">
    <w:name w:val="margin"/>
    <w:basedOn w:val="39"/>
    <w:qFormat/>
    <w:uiPriority w:val="0"/>
    <w:rPr>
      <w:color w:val="666666"/>
    </w:rPr>
  </w:style>
  <w:style w:type="character" w:customStyle="1" w:styleId="251">
    <w:name w:val="font111"/>
    <w:qFormat/>
    <w:uiPriority w:val="0"/>
    <w:rPr>
      <w:rFonts w:hint="default" w:ascii="Times New Roman" w:hAnsi="Times New Roman" w:cs="Times New Roman"/>
      <w:color w:val="000000"/>
      <w:sz w:val="24"/>
      <w:szCs w:val="24"/>
      <w:u w:val="none"/>
    </w:rPr>
  </w:style>
  <w:style w:type="character" w:customStyle="1" w:styleId="252">
    <w:name w:val="user"/>
    <w:basedOn w:val="39"/>
    <w:qFormat/>
    <w:uiPriority w:val="0"/>
    <w:rPr>
      <w:b/>
      <w:color w:val="1065C2"/>
    </w:rPr>
  </w:style>
  <w:style w:type="character" w:customStyle="1" w:styleId="253">
    <w:name w:val="文档结构图 Char2"/>
    <w:semiHidden/>
    <w:qFormat/>
    <w:uiPriority w:val="99"/>
    <w:rPr>
      <w:rFonts w:ascii="宋体" w:hAnsi="Times New Roman" w:eastAsia="宋体" w:cs="Times New Roman"/>
      <w:sz w:val="18"/>
      <w:szCs w:val="18"/>
    </w:rPr>
  </w:style>
  <w:style w:type="character" w:customStyle="1" w:styleId="254">
    <w:name w:val="pubtime"/>
    <w:qFormat/>
    <w:uiPriority w:val="0"/>
    <w:rPr>
      <w:rFonts w:ascii="仿宋_GB2312" w:eastAsia="仿宋_GB2312"/>
      <w:color w:val="000000"/>
      <w:sz w:val="14"/>
      <w:szCs w:val="14"/>
    </w:rPr>
  </w:style>
  <w:style w:type="character" w:customStyle="1" w:styleId="255">
    <w:name w:val="op-map-singlepoint-info-right"/>
    <w:qFormat/>
    <w:uiPriority w:val="99"/>
    <w:rPr>
      <w:rFonts w:ascii="仿宋_GB2312" w:eastAsia="仿宋_GB2312"/>
      <w:b/>
      <w:sz w:val="32"/>
      <w:szCs w:val="32"/>
    </w:rPr>
  </w:style>
  <w:style w:type="character" w:customStyle="1" w:styleId="256">
    <w:name w:val="operation"/>
    <w:basedOn w:val="39"/>
    <w:qFormat/>
    <w:uiPriority w:val="0"/>
    <w:rPr>
      <w:color w:val="F39800"/>
    </w:rPr>
  </w:style>
  <w:style w:type="character" w:customStyle="1" w:styleId="257">
    <w:name w:val="selectedtreerow1"/>
    <w:basedOn w:val="39"/>
    <w:qFormat/>
    <w:uiPriority w:val="0"/>
  </w:style>
  <w:style w:type="character" w:customStyle="1" w:styleId="258">
    <w:name w:val="正文文本缩进 Char2"/>
    <w:semiHidden/>
    <w:qFormat/>
    <w:uiPriority w:val="99"/>
    <w:rPr>
      <w:rFonts w:ascii="Times New Roman" w:hAnsi="Times New Roman" w:eastAsia="宋体" w:cs="Times New Roman"/>
      <w:szCs w:val="24"/>
    </w:rPr>
  </w:style>
  <w:style w:type="character" w:customStyle="1" w:styleId="259">
    <w:name w:val="dhxform_item_required"/>
    <w:basedOn w:val="39"/>
    <w:qFormat/>
    <w:uiPriority w:val="0"/>
    <w:rPr>
      <w:color w:val="B2B2B2"/>
    </w:rPr>
  </w:style>
  <w:style w:type="character" w:customStyle="1" w:styleId="260">
    <w:name w:val="selectedtreerow"/>
    <w:basedOn w:val="39"/>
    <w:qFormat/>
    <w:uiPriority w:val="0"/>
    <w:rPr>
      <w:rFonts w:hint="default" w:ascii="Tahoma" w:hAnsi="Tahoma" w:eastAsia="Tahoma" w:cs="Tahoma"/>
      <w:color w:val="000000"/>
      <w:sz w:val="14"/>
      <w:szCs w:val="14"/>
      <w:shd w:val="clear" w:color="auto" w:fill="85D3FF"/>
    </w:rPr>
  </w:style>
  <w:style w:type="character" w:customStyle="1" w:styleId="261">
    <w:name w:val="普通文字 Char Char1"/>
    <w:qFormat/>
    <w:uiPriority w:val="0"/>
    <w:rPr>
      <w:rFonts w:ascii="宋体" w:hAnsi="Courier New" w:eastAsia="仿宋_GB2312"/>
      <w:b/>
      <w:kern w:val="2"/>
      <w:sz w:val="21"/>
      <w:szCs w:val="32"/>
    </w:rPr>
  </w:style>
  <w:style w:type="character" w:customStyle="1" w:styleId="262">
    <w:name w:val="style191"/>
    <w:qFormat/>
    <w:uiPriority w:val="0"/>
    <w:rPr>
      <w:rFonts w:ascii="仿宋_GB2312" w:eastAsia="仿宋_GB2312"/>
      <w:b/>
      <w:bCs/>
      <w:sz w:val="21"/>
      <w:szCs w:val="21"/>
    </w:rPr>
  </w:style>
  <w:style w:type="character" w:customStyle="1" w:styleId="263">
    <w:name w:val="h Char Char"/>
    <w:qFormat/>
    <w:uiPriority w:val="0"/>
    <w:rPr>
      <w:rFonts w:ascii="仿宋_GB2312" w:eastAsia="仿宋_GB2312"/>
      <w:b/>
      <w:kern w:val="2"/>
      <w:sz w:val="18"/>
      <w:szCs w:val="18"/>
    </w:rPr>
  </w:style>
  <w:style w:type="character" w:customStyle="1" w:styleId="264">
    <w:name w:val="space"/>
    <w:basedOn w:val="39"/>
    <w:qFormat/>
    <w:uiPriority w:val="0"/>
  </w:style>
  <w:style w:type="character" w:customStyle="1" w:styleId="265">
    <w:name w:val="正文文本 3 Char1"/>
    <w:semiHidden/>
    <w:qFormat/>
    <w:uiPriority w:val="99"/>
    <w:rPr>
      <w:rFonts w:ascii="Times New Roman" w:hAnsi="Times New Roman" w:eastAsia="宋体" w:cs="Times New Roman"/>
      <w:sz w:val="16"/>
      <w:szCs w:val="16"/>
    </w:rPr>
  </w:style>
  <w:style w:type="character" w:customStyle="1" w:styleId="266">
    <w:name w:val="标题 Char2"/>
    <w:qFormat/>
    <w:uiPriority w:val="10"/>
    <w:rPr>
      <w:rFonts w:ascii="Cambria" w:hAnsi="Cambria" w:eastAsia="宋体" w:cs="Times New Roman"/>
      <w:b/>
      <w:bCs/>
      <w:sz w:val="32"/>
      <w:szCs w:val="32"/>
    </w:rPr>
  </w:style>
  <w:style w:type="character" w:customStyle="1" w:styleId="267">
    <w:name w:val="dhxtabbar_tabs_text_test_dhx_skyblue"/>
    <w:basedOn w:val="39"/>
    <w:qFormat/>
    <w:uiPriority w:val="0"/>
    <w:rPr>
      <w:rFonts w:hint="default" w:ascii="Tahoma" w:hAnsi="Tahoma" w:eastAsia="Tahoma" w:cs="Tahoma"/>
      <w:b/>
      <w:color w:val="000000"/>
      <w:sz w:val="13"/>
      <w:szCs w:val="13"/>
    </w:rPr>
  </w:style>
  <w:style w:type="character" w:customStyle="1" w:styleId="268">
    <w:name w:val="列出段落 Char"/>
    <w:link w:val="52"/>
    <w:qFormat/>
    <w:uiPriority w:val="34"/>
    <w:rPr>
      <w:kern w:val="2"/>
      <w:sz w:val="21"/>
      <w:szCs w:val="22"/>
    </w:rPr>
  </w:style>
  <w:style w:type="character" w:customStyle="1" w:styleId="269">
    <w:name w:val="正文文本缩进 3 Char2"/>
    <w:semiHidden/>
    <w:qFormat/>
    <w:uiPriority w:val="99"/>
    <w:rPr>
      <w:rFonts w:ascii="Times New Roman" w:hAnsi="Times New Roman" w:eastAsia="宋体" w:cs="Times New Roman"/>
      <w:sz w:val="16"/>
      <w:szCs w:val="16"/>
    </w:rPr>
  </w:style>
  <w:style w:type="character" w:customStyle="1" w:styleId="270">
    <w:name w:val="edui-clickable"/>
    <w:basedOn w:val="39"/>
    <w:qFormat/>
    <w:uiPriority w:val="0"/>
    <w:rPr>
      <w:color w:val="0000FF"/>
      <w:u w:val="single"/>
    </w:rPr>
  </w:style>
  <w:style w:type="character" w:customStyle="1" w:styleId="271">
    <w:name w:val="jedateymchri"/>
    <w:basedOn w:val="39"/>
    <w:qFormat/>
    <w:uiPriority w:val="0"/>
    <w:rPr>
      <w:color w:val="1F547E"/>
      <w:sz w:val="19"/>
      <w:szCs w:val="19"/>
      <w:shd w:val="clear" w:color="auto" w:fill="ECF4FB"/>
    </w:rPr>
  </w:style>
  <w:style w:type="character" w:customStyle="1" w:styleId="272">
    <w:name w:val="radio2"/>
    <w:basedOn w:val="39"/>
    <w:qFormat/>
    <w:uiPriority w:val="0"/>
    <w:rPr>
      <w:color w:val="666666"/>
    </w:rPr>
  </w:style>
  <w:style w:type="character" w:customStyle="1" w:styleId="273">
    <w:name w:val="style171"/>
    <w:qFormat/>
    <w:uiPriority w:val="0"/>
    <w:rPr>
      <w:rFonts w:ascii="仿宋_GB2312" w:eastAsia="仿宋_GB2312"/>
      <w:b/>
      <w:bCs/>
      <w:color w:val="000000"/>
      <w:sz w:val="32"/>
      <w:szCs w:val="32"/>
    </w:rPr>
  </w:style>
  <w:style w:type="character" w:customStyle="1" w:styleId="274">
    <w:name w:val="dhtmlxcalendar_selected_date1"/>
    <w:basedOn w:val="39"/>
    <w:qFormat/>
    <w:uiPriority w:val="0"/>
  </w:style>
  <w:style w:type="character" w:customStyle="1" w:styleId="275">
    <w:name w:val="f11"/>
    <w:qFormat/>
    <w:uiPriority w:val="0"/>
    <w:rPr>
      <w:rFonts w:ascii="仿宋_GB2312" w:eastAsia="仿宋_GB2312"/>
      <w:b/>
      <w:sz w:val="24"/>
      <w:szCs w:val="24"/>
    </w:rPr>
  </w:style>
  <w:style w:type="character" w:customStyle="1" w:styleId="276">
    <w:name w:val="cancel"/>
    <w:basedOn w:val="39"/>
    <w:qFormat/>
    <w:uiPriority w:val="0"/>
  </w:style>
  <w:style w:type="character" w:customStyle="1" w:styleId="277">
    <w:name w:val="font101"/>
    <w:qFormat/>
    <w:uiPriority w:val="0"/>
    <w:rPr>
      <w:rFonts w:ascii="Arial" w:hAnsi="Arial" w:eastAsia="仿宋_GB2312" w:cs="Arial"/>
      <w:b/>
      <w:color w:val="0000FF"/>
      <w:sz w:val="22"/>
      <w:szCs w:val="22"/>
      <w:u w:val="none"/>
    </w:rPr>
  </w:style>
  <w:style w:type="character" w:customStyle="1" w:styleId="278">
    <w:name w:val="jedateymchle"/>
    <w:basedOn w:val="39"/>
    <w:qFormat/>
    <w:uiPriority w:val="0"/>
    <w:rPr>
      <w:color w:val="1F547E"/>
      <w:sz w:val="19"/>
      <w:szCs w:val="19"/>
      <w:shd w:val="clear" w:color="auto" w:fill="ECF4FB"/>
    </w:rPr>
  </w:style>
  <w:style w:type="character" w:customStyle="1" w:styleId="279">
    <w:name w:val="标题 Char1"/>
    <w:qFormat/>
    <w:uiPriority w:val="0"/>
    <w:rPr>
      <w:rFonts w:ascii="Cambria" w:hAnsi="Cambria" w:eastAsia="仿宋_GB2312" w:cs="Times New Roman"/>
      <w:b/>
      <w:bCs/>
      <w:kern w:val="2"/>
      <w:sz w:val="32"/>
      <w:szCs w:val="32"/>
    </w:rPr>
  </w:style>
  <w:style w:type="character" w:customStyle="1" w:styleId="280">
    <w:name w:val="first-child1"/>
    <w:basedOn w:val="39"/>
    <w:qFormat/>
    <w:uiPriority w:val="0"/>
  </w:style>
  <w:style w:type="character" w:customStyle="1" w:styleId="281">
    <w:name w:val="recordsinfoblock"/>
    <w:basedOn w:val="39"/>
    <w:qFormat/>
    <w:uiPriority w:val="0"/>
    <w:rPr>
      <w:rFonts w:ascii="Tahoma" w:hAnsi="Tahoma" w:eastAsia="Tahoma" w:cs="Tahoma"/>
      <w:color w:val="000000"/>
      <w:sz w:val="14"/>
      <w:szCs w:val="14"/>
    </w:rPr>
  </w:style>
  <w:style w:type="character" w:customStyle="1" w:styleId="282">
    <w:name w:val="HTML 预设格式 Char1"/>
    <w:semiHidden/>
    <w:qFormat/>
    <w:uiPriority w:val="99"/>
    <w:rPr>
      <w:rFonts w:ascii="Courier New" w:hAnsi="Courier New" w:eastAsia="宋体" w:cs="Courier New"/>
      <w:sz w:val="20"/>
      <w:szCs w:val="20"/>
    </w:rPr>
  </w:style>
  <w:style w:type="character" w:customStyle="1" w:styleId="283">
    <w:name w:val="layui-layer-tabnow"/>
    <w:basedOn w:val="39"/>
    <w:qFormat/>
    <w:uiPriority w:val="0"/>
    <w:rPr>
      <w:bdr w:val="single" w:color="CCCCCC" w:sz="4" w:space="0"/>
      <w:shd w:val="clear" w:color="auto" w:fill="FFFFFF"/>
    </w:rPr>
  </w:style>
  <w:style w:type="character" w:customStyle="1" w:styleId="284">
    <w:name w:val="工可正文 Char"/>
    <w:link w:val="53"/>
    <w:qFormat/>
    <w:uiPriority w:val="0"/>
    <w:rPr>
      <w:rFonts w:ascii="宋体" w:hAnsi="Courier New"/>
      <w:sz w:val="28"/>
    </w:rPr>
  </w:style>
  <w:style w:type="character" w:customStyle="1" w:styleId="285">
    <w:name w:val="selectedtreerow_lor6"/>
    <w:basedOn w:val="39"/>
    <w:qFormat/>
    <w:uiPriority w:val="0"/>
  </w:style>
  <w:style w:type="character" w:customStyle="1" w:styleId="286">
    <w:name w:val="op_dict3_lineone_result_tip"/>
    <w:qFormat/>
    <w:uiPriority w:val="0"/>
    <w:rPr>
      <w:color w:val="999999"/>
    </w:rPr>
  </w:style>
  <w:style w:type="character" w:customStyle="1" w:styleId="287">
    <w:name w:val="font51"/>
    <w:qFormat/>
    <w:uiPriority w:val="0"/>
    <w:rPr>
      <w:rFonts w:hint="eastAsia" w:ascii="宋体" w:hAnsi="宋体" w:eastAsia="宋体"/>
      <w:color w:val="000000"/>
      <w:sz w:val="24"/>
      <w:szCs w:val="24"/>
      <w:u w:val="none"/>
    </w:rPr>
  </w:style>
  <w:style w:type="character" w:customStyle="1" w:styleId="288">
    <w:name w:val="dhxform_item_required1"/>
    <w:basedOn w:val="39"/>
    <w:qFormat/>
    <w:uiPriority w:val="0"/>
    <w:rPr>
      <w:color w:val="FF0000"/>
    </w:rPr>
  </w:style>
  <w:style w:type="character" w:customStyle="1" w:styleId="289">
    <w:name w:val="font71"/>
    <w:qFormat/>
    <w:uiPriority w:val="0"/>
    <w:rPr>
      <w:rFonts w:hint="eastAsia" w:ascii="宋体" w:hAnsi="宋体" w:eastAsia="宋体" w:cs="宋体"/>
      <w:b/>
      <w:color w:val="0000FF"/>
      <w:sz w:val="22"/>
      <w:szCs w:val="22"/>
      <w:u w:val="none"/>
    </w:rPr>
  </w:style>
  <w:style w:type="character" w:customStyle="1" w:styleId="290">
    <w:name w:val="U_正文 Char"/>
    <w:link w:val="54"/>
    <w:qFormat/>
    <w:uiPriority w:val="0"/>
    <w:rPr>
      <w:rFonts w:ascii="Times New Roman" w:hAnsi="Times New Roman"/>
      <w:kern w:val="2"/>
      <w:sz w:val="24"/>
    </w:rPr>
  </w:style>
  <w:style w:type="character" w:customStyle="1" w:styleId="291">
    <w:name w:val="font31"/>
    <w:qFormat/>
    <w:uiPriority w:val="0"/>
    <w:rPr>
      <w:rFonts w:hint="eastAsia" w:ascii="宋体" w:hAnsi="宋体" w:eastAsia="宋体"/>
      <w:color w:val="000000"/>
      <w:sz w:val="24"/>
      <w:szCs w:val="24"/>
      <w:u w:val="none"/>
    </w:rPr>
  </w:style>
  <w:style w:type="character" w:customStyle="1" w:styleId="292">
    <w:name w:val="无间隔 Char"/>
    <w:link w:val="55"/>
    <w:qFormat/>
    <w:uiPriority w:val="1"/>
    <w:rPr>
      <w:rFonts w:ascii="仿宋_GB2312" w:eastAsia="仿宋_GB2312"/>
      <w:b/>
      <w:kern w:val="2"/>
      <w:sz w:val="22"/>
      <w:szCs w:val="22"/>
      <w:lang w:val="en-US" w:eastAsia="zh-CN" w:bidi="ar-SA"/>
    </w:rPr>
  </w:style>
  <w:style w:type="character" w:customStyle="1" w:styleId="293">
    <w:name w:val="样式 样式 首行缩进:  2.25 字符 + 首行缩进:  2.25 字符 Char"/>
    <w:link w:val="56"/>
    <w:qFormat/>
    <w:uiPriority w:val="0"/>
    <w:rPr>
      <w:rFonts w:ascii="宋体" w:hAnsi="宋体" w:eastAsia="宋体" w:cs="宋体"/>
      <w:b/>
      <w:szCs w:val="21"/>
    </w:rPr>
  </w:style>
  <w:style w:type="character" w:customStyle="1" w:styleId="294">
    <w:name w:val="checkbox3"/>
    <w:basedOn w:val="39"/>
    <w:qFormat/>
    <w:uiPriority w:val="0"/>
    <w:rPr>
      <w:color w:val="666666"/>
    </w:rPr>
  </w:style>
  <w:style w:type="character" w:customStyle="1" w:styleId="295">
    <w:name w:val="font11"/>
    <w:qFormat/>
    <w:uiPriority w:val="0"/>
    <w:rPr>
      <w:rFonts w:ascii="宋体" w:hAnsi="宋体" w:eastAsia="宋体" w:cs="宋体"/>
      <w:b/>
      <w:color w:val="000000"/>
      <w:sz w:val="22"/>
      <w:szCs w:val="22"/>
      <w:u w:val="none"/>
    </w:rPr>
  </w:style>
  <w:style w:type="character" w:customStyle="1" w:styleId="296">
    <w:name w:val="z-窗体顶端 Char"/>
    <w:link w:val="57"/>
    <w:qFormat/>
    <w:uiPriority w:val="0"/>
    <w:rPr>
      <w:rFonts w:ascii="Arial" w:hAnsi="Times New Roman" w:eastAsia="宋体" w:cs="Times New Roman"/>
      <w:vanish/>
      <w:sz w:val="16"/>
      <w:szCs w:val="24"/>
    </w:rPr>
  </w:style>
  <w:style w:type="character" w:customStyle="1" w:styleId="297">
    <w:name w:val="font131"/>
    <w:qFormat/>
    <w:uiPriority w:val="0"/>
    <w:rPr>
      <w:rFonts w:hint="eastAsia" w:ascii="宋体" w:hAnsi="宋体" w:eastAsia="宋体"/>
      <w:color w:val="000000"/>
      <w:sz w:val="24"/>
      <w:szCs w:val="24"/>
      <w:u w:val="none"/>
    </w:rPr>
  </w:style>
  <w:style w:type="character" w:customStyle="1" w:styleId="298">
    <w:name w:val="edui-unclickable"/>
    <w:basedOn w:val="39"/>
    <w:qFormat/>
    <w:uiPriority w:val="0"/>
    <w:rPr>
      <w:color w:val="808080"/>
    </w:rPr>
  </w:style>
  <w:style w:type="character" w:customStyle="1" w:styleId="299">
    <w:name w:val="纯文本 Char1"/>
    <w:qFormat/>
    <w:uiPriority w:val="0"/>
    <w:rPr>
      <w:rFonts w:ascii="宋体" w:hAnsi="Courier New" w:eastAsia="宋体" w:cs="Courier New"/>
      <w:szCs w:val="21"/>
    </w:rPr>
  </w:style>
  <w:style w:type="character" w:customStyle="1" w:styleId="300">
    <w:name w:val="percentage"/>
    <w:basedOn w:val="39"/>
    <w:qFormat/>
    <w:uiPriority w:val="0"/>
    <w:rPr>
      <w:shd w:val="clear" w:color="auto" w:fill="1483D8"/>
    </w:rPr>
  </w:style>
  <w:style w:type="character" w:customStyle="1" w:styleId="301">
    <w:name w:val="font91"/>
    <w:qFormat/>
    <w:uiPriority w:val="0"/>
    <w:rPr>
      <w:rFonts w:hint="eastAsia" w:ascii="华文细黑" w:hAnsi="华文细黑" w:eastAsia="华文细黑"/>
      <w:color w:val="FF0000"/>
      <w:sz w:val="18"/>
      <w:szCs w:val="18"/>
      <w:u w:val="none"/>
    </w:rPr>
  </w:style>
  <w:style w:type="character" w:customStyle="1" w:styleId="302">
    <w:name w:val="dhxform_info"/>
    <w:basedOn w:val="39"/>
    <w:qFormat/>
    <w:uiPriority w:val="0"/>
    <w:rPr>
      <w:rFonts w:hint="default" w:ascii="Tahoma" w:hAnsi="Tahoma" w:eastAsia="Tahoma" w:cs="Tahoma"/>
      <w:color w:val="808080"/>
      <w:sz w:val="12"/>
      <w:szCs w:val="12"/>
    </w:rPr>
  </w:style>
  <w:style w:type="character" w:customStyle="1" w:styleId="303">
    <w:name w:val="swzz"/>
    <w:basedOn w:val="39"/>
    <w:qFormat/>
    <w:uiPriority w:val="0"/>
    <w:rPr>
      <w:color w:val="F39800"/>
    </w:rPr>
  </w:style>
  <w:style w:type="character" w:customStyle="1" w:styleId="304">
    <w:name w:val="U_正文2 Char"/>
    <w:link w:val="58"/>
    <w:qFormat/>
    <w:uiPriority w:val="0"/>
    <w:rPr>
      <w:rFonts w:ascii="Times New Roman" w:hAnsi="Times New Roman"/>
      <w:kern w:val="2"/>
      <w:sz w:val="24"/>
    </w:rPr>
  </w:style>
  <w:style w:type="character" w:customStyle="1" w:styleId="305">
    <w:name w:val="text2"/>
    <w:basedOn w:val="39"/>
    <w:qFormat/>
    <w:uiPriority w:val="0"/>
  </w:style>
  <w:style w:type="character" w:customStyle="1" w:styleId="306">
    <w:name w:val="正文2 Char"/>
    <w:link w:val="59"/>
    <w:qFormat/>
    <w:uiPriority w:val="0"/>
    <w:rPr>
      <w:rFonts w:ascii="Calibri" w:hAnsi="Calibri"/>
      <w:sz w:val="24"/>
    </w:rPr>
  </w:style>
  <w:style w:type="character" w:customStyle="1" w:styleId="307">
    <w:name w:val="nav_link"/>
    <w:basedOn w:val="39"/>
    <w:qFormat/>
    <w:uiPriority w:val="0"/>
  </w:style>
  <w:style w:type="character" w:customStyle="1" w:styleId="308">
    <w:name w:val="font01"/>
    <w:qFormat/>
    <w:uiPriority w:val="0"/>
    <w:rPr>
      <w:rFonts w:hint="eastAsia" w:ascii="微软雅黑" w:hAnsi="微软雅黑" w:eastAsia="微软雅黑" w:cs="微软雅黑"/>
      <w:b/>
      <w:color w:val="000000"/>
      <w:sz w:val="20"/>
      <w:szCs w:val="20"/>
      <w:u w:val="none"/>
    </w:rPr>
  </w:style>
  <w:style w:type="character" w:customStyle="1" w:styleId="309">
    <w:name w:val="font21"/>
    <w:qFormat/>
    <w:uiPriority w:val="0"/>
    <w:rPr>
      <w:rFonts w:hint="eastAsia" w:ascii="宋体" w:hAnsi="宋体" w:eastAsia="宋体" w:cs="宋体"/>
      <w:b/>
      <w:color w:val="000000"/>
      <w:sz w:val="22"/>
      <w:szCs w:val="22"/>
      <w:u w:val="none"/>
    </w:rPr>
  </w:style>
  <w:style w:type="character" w:customStyle="1" w:styleId="310">
    <w:name w:val="正文文本缩进 3 Char1"/>
    <w:qFormat/>
    <w:uiPriority w:val="0"/>
    <w:rPr>
      <w:rFonts w:ascii="仿宋_GB2312" w:eastAsia="仿宋_GB2312"/>
      <w:b/>
      <w:kern w:val="2"/>
      <w:sz w:val="16"/>
      <w:szCs w:val="16"/>
    </w:rPr>
  </w:style>
  <w:style w:type="character" w:customStyle="1" w:styleId="311">
    <w:name w:val="rotateright"/>
    <w:basedOn w:val="39"/>
    <w:qFormat/>
    <w:uiPriority w:val="0"/>
  </w:style>
  <w:style w:type="character" w:customStyle="1" w:styleId="312">
    <w:name w:val="font12gray1"/>
    <w:qFormat/>
    <w:uiPriority w:val="0"/>
    <w:rPr>
      <w:rFonts w:ascii="仿宋_GB2312" w:eastAsia="仿宋_GB2312"/>
      <w:b/>
      <w:sz w:val="18"/>
      <w:szCs w:val="18"/>
    </w:rPr>
  </w:style>
  <w:style w:type="character" w:customStyle="1" w:styleId="313">
    <w:name w:val="standarttreerow6"/>
    <w:basedOn w:val="39"/>
    <w:qFormat/>
    <w:uiPriority w:val="0"/>
  </w:style>
  <w:style w:type="character" w:customStyle="1" w:styleId="314">
    <w:name w:val="z-窗体底端 Char"/>
    <w:link w:val="60"/>
    <w:qFormat/>
    <w:uiPriority w:val="0"/>
    <w:rPr>
      <w:rFonts w:ascii="Arial" w:hAnsi="Times New Roman" w:eastAsia="宋体" w:cs="Times New Roman"/>
      <w:vanish/>
      <w:sz w:val="16"/>
      <w:szCs w:val="24"/>
    </w:rPr>
  </w:style>
  <w:style w:type="character" w:customStyle="1" w:styleId="315">
    <w:name w:val="批注文字 字符"/>
    <w:qFormat/>
    <w:uiPriority w:val="0"/>
    <w:rPr>
      <w:rFonts w:ascii="仿宋_GB2312" w:eastAsia="仿宋_GB2312"/>
      <w:b/>
      <w:kern w:val="2"/>
      <w:sz w:val="21"/>
      <w:szCs w:val="24"/>
    </w:rPr>
  </w:style>
  <w:style w:type="character" w:customStyle="1" w:styleId="316">
    <w:name w:val="checkbox2"/>
    <w:basedOn w:val="39"/>
    <w:qFormat/>
    <w:uiPriority w:val="0"/>
    <w:rPr>
      <w:color w:val="666666"/>
    </w:rPr>
  </w:style>
  <w:style w:type="character" w:customStyle="1" w:styleId="317">
    <w:name w:val="dhtmlxcalendar_selected_date"/>
    <w:basedOn w:val="39"/>
    <w:qFormat/>
    <w:uiPriority w:val="0"/>
  </w:style>
  <w:style w:type="character" w:customStyle="1" w:styleId="318">
    <w:name w:val="rotateleft"/>
    <w:basedOn w:val="39"/>
    <w:qFormat/>
    <w:uiPriority w:val="0"/>
  </w:style>
  <w:style w:type="character" w:customStyle="1" w:styleId="319">
    <w:name w:val="font41"/>
    <w:qFormat/>
    <w:uiPriority w:val="0"/>
    <w:rPr>
      <w:rFonts w:ascii="font-weight : 400" w:hAnsi="font-weight : 400" w:eastAsia="font-weight : 400" w:cs="font-weight : 400"/>
      <w:b/>
      <w:color w:val="000000"/>
      <w:sz w:val="22"/>
      <w:szCs w:val="22"/>
      <w:u w:val="none"/>
    </w:rPr>
  </w:style>
  <w:style w:type="character" w:customStyle="1" w:styleId="320">
    <w:name w:val="first-child"/>
    <w:basedOn w:val="39"/>
    <w:qFormat/>
    <w:uiPriority w:val="0"/>
  </w:style>
  <w:style w:type="character" w:customStyle="1" w:styleId="321">
    <w:name w:val="文档结构图 Char1"/>
    <w:qFormat/>
    <w:uiPriority w:val="0"/>
    <w:rPr>
      <w:rFonts w:ascii="宋体" w:eastAsia="仿宋_GB2312"/>
      <w:b/>
      <w:kern w:val="2"/>
      <w:sz w:val="18"/>
      <w:szCs w:val="18"/>
    </w:rPr>
  </w:style>
  <w:style w:type="character" w:customStyle="1" w:styleId="322">
    <w:name w:val="text"/>
    <w:basedOn w:val="39"/>
    <w:qFormat/>
    <w:uiPriority w:val="0"/>
  </w:style>
  <w:style w:type="character" w:customStyle="1" w:styleId="323">
    <w:name w:val="selectedtreerow_lor7"/>
    <w:basedOn w:val="39"/>
    <w:qFormat/>
    <w:uiPriority w:val="0"/>
  </w:style>
  <w:style w:type="character" w:customStyle="1" w:styleId="324">
    <w:name w:val="edui-clickable2"/>
    <w:basedOn w:val="39"/>
    <w:qFormat/>
    <w:uiPriority w:val="0"/>
    <w:rPr>
      <w:color w:val="0000FF"/>
      <w:u w:val="single"/>
    </w:rPr>
  </w:style>
  <w:style w:type="character" w:customStyle="1" w:styleId="325">
    <w:name w:val="selectedtreerow6"/>
    <w:basedOn w:val="39"/>
    <w:qFormat/>
    <w:uiPriority w:val="0"/>
    <w:rPr>
      <w:color w:val="000000"/>
      <w:shd w:val="clear" w:color="auto" w:fill="85D3FF"/>
    </w:rPr>
  </w:style>
  <w:style w:type="character" w:customStyle="1" w:styleId="326">
    <w:name w:val="selectedtreerow7"/>
    <w:basedOn w:val="39"/>
    <w:qFormat/>
    <w:uiPriority w:val="0"/>
  </w:style>
  <w:style w:type="character" w:customStyle="1" w:styleId="327">
    <w:name w:val="standarttreerow"/>
    <w:basedOn w:val="39"/>
    <w:qFormat/>
    <w:uiPriority w:val="0"/>
    <w:rPr>
      <w:rFonts w:ascii="Tahoma" w:hAnsi="Tahoma" w:eastAsia="Tahoma" w:cs="Tahoma"/>
      <w:sz w:val="14"/>
      <w:szCs w:val="14"/>
    </w:rPr>
  </w:style>
  <w:style w:type="character" w:customStyle="1" w:styleId="328">
    <w:name w:val="operation2"/>
    <w:basedOn w:val="39"/>
    <w:qFormat/>
    <w:uiPriority w:val="0"/>
    <w:rPr>
      <w:color w:val="F39800"/>
    </w:rPr>
  </w:style>
  <w:style w:type="character" w:customStyle="1" w:styleId="329">
    <w:name w:val="selectedtreerow_lor4"/>
    <w:basedOn w:val="39"/>
    <w:qFormat/>
    <w:uiPriority w:val="0"/>
    <w:rPr>
      <w:color w:val="000000"/>
      <w:shd w:val="clear" w:color="auto" w:fill="85D3FF"/>
    </w:rPr>
  </w:style>
  <w:style w:type="character" w:customStyle="1" w:styleId="330">
    <w:name w:val="selectedtreerow5"/>
    <w:basedOn w:val="39"/>
    <w:qFormat/>
    <w:uiPriority w:val="0"/>
    <w:rPr>
      <w:color w:val="000000"/>
      <w:shd w:val="clear" w:color="auto" w:fill="85D3FF"/>
    </w:rPr>
  </w:style>
  <w:style w:type="character" w:customStyle="1" w:styleId="331">
    <w:name w:val="radio"/>
    <w:basedOn w:val="39"/>
    <w:qFormat/>
    <w:uiPriority w:val="0"/>
    <w:rPr>
      <w:color w:val="666666"/>
    </w:rPr>
  </w:style>
  <w:style w:type="character" w:customStyle="1" w:styleId="332">
    <w:name w:val="selectedtreerow_lor"/>
    <w:basedOn w:val="39"/>
    <w:qFormat/>
    <w:uiPriority w:val="0"/>
  </w:style>
  <w:style w:type="character" w:customStyle="1" w:styleId="333">
    <w:name w:val="selectedtreerow_lor1"/>
    <w:basedOn w:val="39"/>
    <w:qFormat/>
    <w:uiPriority w:val="0"/>
    <w:rPr>
      <w:rFonts w:hint="default" w:ascii="Tahoma" w:hAnsi="Tahoma" w:eastAsia="Tahoma" w:cs="Tahoma"/>
      <w:color w:val="000000"/>
      <w:sz w:val="14"/>
      <w:szCs w:val="14"/>
      <w:shd w:val="clear" w:color="auto" w:fill="85D3FF"/>
    </w:rPr>
  </w:style>
  <w:style w:type="table" w:customStyle="1" w:styleId="334">
    <w:name w:val="网格型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
    <w:name w:val="网格型2"/>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font81"/>
    <w:basedOn w:val="39"/>
    <w:qFormat/>
    <w:uiPriority w:val="0"/>
    <w:rPr>
      <w:rFonts w:hint="eastAsia" w:ascii="宋体" w:hAnsi="宋体" w:eastAsia="宋体" w:cs="宋体"/>
      <w:color w:val="666666"/>
      <w:sz w:val="18"/>
      <w:szCs w:val="18"/>
      <w:u w:val="none"/>
    </w:rPr>
  </w:style>
  <w:style w:type="character" w:customStyle="1" w:styleId="337">
    <w:name w:val="checkbox"/>
    <w:basedOn w:val="39"/>
    <w:qFormat/>
    <w:uiPriority w:val="0"/>
    <w:rPr>
      <w:color w:val="666666"/>
    </w:rPr>
  </w:style>
  <w:style w:type="character" w:customStyle="1" w:styleId="338">
    <w:name w:val="checkbox1"/>
    <w:basedOn w:val="39"/>
    <w:qFormat/>
    <w:uiPriority w:val="0"/>
    <w:rPr>
      <w:color w:val="66666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60</Pages>
  <Words>31496</Words>
  <Characters>32854</Characters>
  <Lines>150</Lines>
  <Paragraphs>42</Paragraphs>
  <TotalTime>11</TotalTime>
  <ScaleCrop>false</ScaleCrop>
  <LinksUpToDate>false</LinksUpToDate>
  <CharactersWithSpaces>37271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2018-11-12T09:20:00Z</dcterms:created>
  <dc:creator>Hewlett-Packard Company</dc:creator>
  <cp:lastModifiedBy>米猪</cp:lastModifiedBy>
  <cp:lastPrinted>2020-01-12T04:36:00Z</cp:lastPrinted>
  <dcterms:modified xsi:type="dcterms:W3CDTF">2023-09-09T10:39:25Z</dcterms:modified>
  <dc:title>余杭区路警联合执法系统建设项目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C2EE82A6621E4D29BB2F77FE101E3775_13</vt:lpwstr>
  </property>
</Properties>
</file>