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r>
        <w:rPr>
          <w:rFonts w:hint="eastAsia" w:ascii="方正黑体_GBK" w:hAnsi="宋体" w:eastAsia="方正黑体_GBK"/>
          <w:color w:val="auto"/>
          <w:spacing w:val="80"/>
          <w:sz w:val="100"/>
          <w:szCs w:val="112"/>
        </w:rPr>
        <w:t>询价文件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ind w:left="2887" w:leftChars="304" w:hanging="2249" w:hangingChars="7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项目名称：   荣昌区人民医院</w:t>
      </w:r>
      <w:r>
        <w:rPr>
          <w:rFonts w:hint="eastAsia" w:ascii="方正小标宋_GBK" w:hAnsi="宋体" w:eastAsia="方正小标宋_GBK" w:cs="Times New Roman"/>
          <w:b/>
          <w:bCs/>
          <w:sz w:val="32"/>
          <w:szCs w:val="32"/>
          <w:lang w:eastAsia="zh-CN"/>
        </w:rPr>
        <w:t>高压注射枪、病人监护仪、脚踏运动自行车</w:t>
      </w:r>
      <w:r>
        <w:rPr>
          <w:rFonts w:hint="eastAsia" w:ascii="方正小标宋_GBK" w:hAnsi="宋体" w:eastAsia="方正小标宋_GBK" w:cs="Times New Roman"/>
          <w:b/>
          <w:bCs/>
          <w:sz w:val="32"/>
          <w:szCs w:val="32"/>
        </w:rPr>
        <w:t xml:space="preserve">采购                               </w:t>
      </w: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采购人：      重庆市荣昌区人民医院</w:t>
      </w: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700" w:lineRule="exact"/>
        <w:ind w:firstLine="4176" w:firstLineChars="1300"/>
        <w:jc w:val="both"/>
        <w:rPr>
          <w:rFonts w:hint="default" w:ascii="方正小标宋_GBK" w:hAnsi="宋体" w:eastAsia="方正小标宋_GBK" w:cs="Times New Roman"/>
          <w:b/>
          <w:bCs/>
          <w:sz w:val="32"/>
          <w:szCs w:val="32"/>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小标宋_GBK" w:hAnsi="宋体" w:eastAsia="方正小标宋_GBK" w:cs="Times New Roman"/>
          <w:b/>
          <w:bCs/>
          <w:sz w:val="32"/>
          <w:szCs w:val="32"/>
          <w:lang w:val="en-US" w:eastAsia="zh-CN"/>
        </w:rPr>
        <w:t xml:space="preserve"> 2022年5月</w:t>
      </w:r>
    </w:p>
    <w:p>
      <w:pPr>
        <w:spacing w:line="560" w:lineRule="exact"/>
        <w:jc w:val="center"/>
        <w:rPr>
          <w:rFonts w:hint="eastAsia" w:ascii="宋体" w:hAnsi="宋体" w:eastAsia="宋体" w:cs="宋体"/>
          <w:b/>
          <w:bCs/>
          <w:color w:val="000000"/>
          <w:sz w:val="44"/>
          <w:szCs w:val="44"/>
          <w:lang w:eastAsia="zh-CN"/>
        </w:rPr>
      </w:pPr>
      <w:r>
        <w:rPr>
          <w:rFonts w:hint="eastAsia" w:ascii="宋体" w:hAnsi="宋体" w:cs="宋体"/>
          <w:b/>
          <w:bCs/>
          <w:color w:val="000000"/>
          <w:sz w:val="44"/>
          <w:szCs w:val="44"/>
          <w:lang w:eastAsia="zh-CN"/>
        </w:rPr>
        <w:t>第一篇</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lang w:eastAsia="zh-CN"/>
        </w:rPr>
        <w:t>技术商务部分</w:t>
      </w:r>
    </w:p>
    <w:p>
      <w:pPr>
        <w:spacing w:line="560" w:lineRule="exact"/>
        <w:jc w:val="center"/>
        <w:rPr>
          <w:rFonts w:ascii="宋体" w:hAnsi="宋体" w:cs="宋体"/>
          <w:b/>
          <w:bCs/>
          <w:color w:val="000000"/>
          <w:sz w:val="44"/>
          <w:szCs w:val="44"/>
        </w:rPr>
      </w:pPr>
    </w:p>
    <w:p>
      <w:pPr>
        <w:snapToGrid w:val="0"/>
        <w:spacing w:line="4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重庆市荣昌区人民医院为满足业务发展需求，经院内审批同意，拟采购</w:t>
      </w:r>
      <w:r>
        <w:rPr>
          <w:rFonts w:hint="eastAsia" w:ascii="方正仿宋_GBK" w:hAnsi="宋体" w:eastAsia="方正仿宋_GBK"/>
          <w:sz w:val="28"/>
          <w:szCs w:val="28"/>
          <w:lang w:eastAsia="zh-CN"/>
        </w:rPr>
        <w:t>病人高压注射枪及专机配套耗材、监护仪、脚踏运动自行车</w:t>
      </w:r>
      <w:r>
        <w:rPr>
          <w:rFonts w:hint="eastAsia" w:ascii="方正仿宋_GBK" w:hAnsi="宋体" w:eastAsia="方正仿宋_GBK"/>
          <w:sz w:val="28"/>
          <w:szCs w:val="28"/>
        </w:rPr>
        <w:t>，欢迎有资格的供应商积极参加，相关具体要求如下：</w:t>
      </w:r>
    </w:p>
    <w:p>
      <w:pPr>
        <w:snapToGrid w:val="0"/>
        <w:spacing w:line="400" w:lineRule="exact"/>
        <w:ind w:firstLine="560" w:firstLineChars="200"/>
        <w:rPr>
          <w:rFonts w:ascii="方正仿宋_GBK" w:hAnsi="宋体" w:eastAsia="方正仿宋_GBK"/>
          <w:color w:val="FF0000"/>
          <w:sz w:val="28"/>
          <w:szCs w:val="28"/>
        </w:rPr>
      </w:pPr>
      <w:r>
        <w:rPr>
          <w:rFonts w:hint="eastAsia" w:ascii="方正黑体_GBK" w:hAnsi="宋体" w:eastAsia="方正黑体_GBK"/>
          <w:sz w:val="28"/>
          <w:szCs w:val="28"/>
        </w:rPr>
        <w:t>一、询价采购内容</w:t>
      </w:r>
      <w:r>
        <w:rPr>
          <w:rFonts w:hint="eastAsia" w:ascii="方正仿宋_GBK" w:hAnsi="宋体" w:eastAsia="方正仿宋_GBK"/>
          <w:sz w:val="28"/>
          <w:szCs w:val="28"/>
        </w:rPr>
        <w:t xml:space="preserve"> </w:t>
      </w:r>
    </w:p>
    <w:tbl>
      <w:tblPr>
        <w:tblStyle w:val="13"/>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784"/>
        <w:gridCol w:w="1290"/>
        <w:gridCol w:w="1170"/>
        <w:gridCol w:w="144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kern w:val="0"/>
                <w:lang w:eastAsia="zh-CN"/>
              </w:rPr>
            </w:pPr>
            <w:r>
              <w:rPr>
                <w:rFonts w:hint="eastAsia" w:ascii="方正仿宋_GBK" w:hAnsi="宋体" w:eastAsia="方正仿宋_GBK" w:cs="宋体"/>
                <w:b/>
                <w:bCs/>
                <w:kern w:val="0"/>
                <w:lang w:eastAsia="zh-CN"/>
              </w:rPr>
              <w:t>序号</w:t>
            </w:r>
          </w:p>
        </w:tc>
        <w:tc>
          <w:tcPr>
            <w:tcW w:w="278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rPr>
            </w:pPr>
            <w:r>
              <w:rPr>
                <w:rFonts w:hint="eastAsia" w:ascii="方正仿宋_GBK" w:hAnsi="宋体" w:eastAsia="方正仿宋_GBK" w:cs="宋体"/>
                <w:b/>
                <w:bCs/>
                <w:kern w:val="0"/>
              </w:rPr>
              <w:t>设备名称</w:t>
            </w:r>
          </w:p>
        </w:tc>
        <w:tc>
          <w:tcPr>
            <w:tcW w:w="1290"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kern w:val="0"/>
              </w:rPr>
            </w:pPr>
            <w:r>
              <w:rPr>
                <w:rFonts w:hint="eastAsia" w:ascii="方正仿宋_GBK" w:hAnsi="宋体" w:eastAsia="方正仿宋_GBK" w:cs="宋体"/>
                <w:b/>
                <w:bCs/>
                <w:kern w:val="0"/>
              </w:rPr>
              <w:t>数量及单位</w:t>
            </w:r>
          </w:p>
        </w:tc>
        <w:tc>
          <w:tcPr>
            <w:tcW w:w="1170" w:type="dxa"/>
            <w:tcBorders>
              <w:top w:val="single" w:color="auto" w:sz="4" w:space="0"/>
              <w:left w:val="single" w:color="auto" w:sz="4" w:space="0"/>
              <w:right w:val="single" w:color="auto" w:sz="4" w:space="0"/>
            </w:tcBorders>
            <w:vAlign w:val="center"/>
          </w:tcPr>
          <w:p>
            <w:pPr>
              <w:widowControl/>
              <w:jc w:val="both"/>
              <w:rPr>
                <w:rFonts w:ascii="方正仿宋_GBK" w:hAnsi="宋体" w:eastAsia="方正仿宋_GBK" w:cs="宋体"/>
                <w:b/>
                <w:bCs/>
                <w:kern w:val="0"/>
              </w:rPr>
            </w:pPr>
            <w:r>
              <w:rPr>
                <w:rFonts w:hint="eastAsia" w:ascii="方正仿宋_GBK" w:hAnsi="宋体" w:eastAsia="方正仿宋_GBK" w:cs="宋体"/>
                <w:b/>
                <w:bCs/>
                <w:kern w:val="0"/>
                <w:lang w:eastAsia="zh-CN"/>
              </w:rPr>
              <w:t>单价</w:t>
            </w:r>
            <w:r>
              <w:rPr>
                <w:rFonts w:hint="eastAsia" w:ascii="方正仿宋_GBK" w:hAnsi="宋体" w:eastAsia="方正仿宋_GBK" w:cs="宋体"/>
                <w:b/>
                <w:bCs/>
                <w:kern w:val="0"/>
              </w:rPr>
              <w:t>限价</w:t>
            </w:r>
          </w:p>
          <w:p>
            <w:pPr>
              <w:jc w:val="center"/>
              <w:rPr>
                <w:rFonts w:ascii="方正仿宋_GBK" w:hAnsi="宋体" w:eastAsia="方正仿宋_GBK" w:cs="宋体"/>
                <w:b/>
                <w:bCs/>
                <w:kern w:val="0"/>
              </w:rPr>
            </w:pPr>
            <w:r>
              <w:rPr>
                <w:rFonts w:hint="eastAsia" w:ascii="方正仿宋_GBK" w:hAnsi="宋体" w:eastAsia="方正仿宋_GBK" w:cs="宋体"/>
                <w:b/>
                <w:bCs/>
                <w:kern w:val="0"/>
              </w:rPr>
              <w:t>（元）</w:t>
            </w:r>
          </w:p>
        </w:tc>
        <w:tc>
          <w:tcPr>
            <w:tcW w:w="1440"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lang w:eastAsia="zh-CN"/>
              </w:rPr>
            </w:pPr>
            <w:r>
              <w:rPr>
                <w:rFonts w:hint="eastAsia" w:ascii="方正仿宋_GBK" w:hAnsi="宋体" w:eastAsia="方正仿宋_GBK" w:cs="宋体"/>
                <w:b/>
                <w:bCs/>
                <w:kern w:val="0"/>
                <w:lang w:eastAsia="zh-CN"/>
              </w:rPr>
              <w:t>限价（元）</w:t>
            </w:r>
          </w:p>
        </w:tc>
        <w:tc>
          <w:tcPr>
            <w:tcW w:w="1518"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rPr>
            </w:pPr>
            <w:r>
              <w:rPr>
                <w:rFonts w:hint="eastAsia" w:ascii="方正仿宋_GBK" w:hAnsi="宋体" w:eastAsia="方正仿宋_GBK"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vMerge w:val="restart"/>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Times New Roman"/>
                <w:color w:val="auto"/>
                <w:sz w:val="28"/>
                <w:szCs w:val="28"/>
                <w:lang w:val="en-US" w:eastAsia="zh-CN"/>
              </w:rPr>
            </w:pPr>
            <w:bookmarkStart w:id="0" w:name="_Hlk344477914"/>
            <w:r>
              <w:rPr>
                <w:rFonts w:hint="eastAsia" w:ascii="方正仿宋_GBK" w:hAnsi="宋体" w:eastAsia="方正仿宋_GBK" w:cs="Times New Roman"/>
                <w:color w:val="auto"/>
                <w:sz w:val="28"/>
                <w:szCs w:val="28"/>
                <w:lang w:val="en-US" w:eastAsia="zh-CN"/>
              </w:rPr>
              <w:t>1</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kern w:val="2"/>
                <w:sz w:val="28"/>
                <w:szCs w:val="28"/>
                <w:lang w:val="en-US" w:eastAsia="zh-CN" w:bidi="ar-SA"/>
              </w:rPr>
            </w:pPr>
            <w:r>
              <w:rPr>
                <w:rFonts w:hint="eastAsia" w:ascii="方正仿宋_GBK" w:hAnsi="宋体" w:eastAsia="方正仿宋_GBK" w:cs="Times New Roman"/>
                <w:color w:val="auto"/>
                <w:kern w:val="2"/>
                <w:sz w:val="28"/>
                <w:szCs w:val="28"/>
                <w:lang w:val="en-US" w:eastAsia="zh-CN" w:bidi="ar-SA"/>
              </w:rPr>
              <w:t>高压注射枪</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1把</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92800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92800</w:t>
            </w:r>
          </w:p>
        </w:tc>
        <w:tc>
          <w:tcPr>
            <w:tcW w:w="1518" w:type="dxa"/>
            <w:vMerge w:val="restart"/>
            <w:tcBorders>
              <w:left w:val="single" w:color="auto" w:sz="4" w:space="0"/>
              <w:right w:val="single" w:color="auto" w:sz="4" w:space="0"/>
            </w:tcBorders>
            <w:vAlign w:val="center"/>
          </w:tcPr>
          <w:p>
            <w:pPr>
              <w:numPr>
                <w:ilvl w:val="0"/>
                <w:numId w:val="0"/>
              </w:numPr>
              <w:jc w:val="both"/>
              <w:rPr>
                <w:rFonts w:hint="eastAsia" w:ascii="方正仿宋_GBK" w:hAnsi="宋体" w:eastAsia="方正仿宋_GBK"/>
                <w:b/>
                <w:szCs w:val="21"/>
                <w:lang w:eastAsia="zh-CN"/>
              </w:rPr>
            </w:pPr>
            <w:r>
              <w:rPr>
                <w:rFonts w:hint="eastAsia" w:ascii="方正仿宋_GBK" w:hAnsi="宋体" w:eastAsia="方正仿宋_GBK"/>
                <w:b/>
                <w:szCs w:val="21"/>
              </w:rPr>
              <w:t>本分包产品须为中国大陆境内生产</w:t>
            </w:r>
          </w:p>
          <w:p>
            <w:pPr>
              <w:jc w:val="both"/>
              <w:rPr>
                <w:rFonts w:hint="eastAsia" w:ascii="方正仿宋_GBK" w:hAnsi="宋体" w:eastAsia="方正仿宋_GBK"/>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vMerge w:val="continue"/>
            <w:tcBorders>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Times New Roman"/>
                <w:color w:val="auto"/>
                <w:kern w:val="2"/>
                <w:sz w:val="28"/>
                <w:szCs w:val="28"/>
                <w:lang w:val="en-US" w:eastAsia="zh-CN" w:bidi="ar-SA"/>
              </w:rPr>
            </w:pPr>
            <w:r>
              <w:rPr>
                <w:rFonts w:hint="eastAsia" w:ascii="方正仿宋_GBK" w:hAnsi="宋体" w:eastAsia="方正仿宋_GBK" w:cs="Times New Roman"/>
                <w:color w:val="auto"/>
                <w:kern w:val="2"/>
                <w:sz w:val="28"/>
                <w:szCs w:val="28"/>
                <w:lang w:val="en-US" w:eastAsia="zh-CN" w:bidi="ar-SA"/>
              </w:rPr>
              <w:t>一次性使用高压造影注射器及附件</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（据实结算）/套</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160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158/套</w:t>
            </w:r>
          </w:p>
        </w:tc>
        <w:tc>
          <w:tcPr>
            <w:tcW w:w="1518"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Times New Roman"/>
                <w:color w:val="auto"/>
                <w:sz w:val="28"/>
                <w:szCs w:val="28"/>
                <w:lang w:val="en-US" w:eastAsia="zh-CN"/>
              </w:rPr>
            </w:pPr>
            <w:r>
              <w:rPr>
                <w:rFonts w:hint="eastAsia" w:ascii="方正仿宋_GBK" w:hAnsi="宋体" w:eastAsia="方正仿宋_GBK" w:cs="Times New Roman"/>
                <w:color w:val="auto"/>
                <w:sz w:val="28"/>
                <w:szCs w:val="28"/>
                <w:lang w:val="en-US" w:eastAsia="zh-CN"/>
              </w:rPr>
              <w:t>2</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kern w:val="2"/>
                <w:sz w:val="28"/>
                <w:szCs w:val="28"/>
                <w:lang w:val="en-US" w:eastAsia="zh-CN" w:bidi="ar-SA"/>
              </w:rPr>
            </w:pPr>
            <w:r>
              <w:rPr>
                <w:rFonts w:hint="eastAsia" w:ascii="方正仿宋_GBK" w:hAnsi="宋体" w:eastAsia="方正仿宋_GBK"/>
                <w:color w:val="auto"/>
                <w:sz w:val="28"/>
                <w:szCs w:val="28"/>
                <w:lang w:eastAsia="zh-CN"/>
              </w:rPr>
              <w:t>病人监护仪</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6</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9500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bidi="ar-SA"/>
              </w:rPr>
            </w:pPr>
            <w:r>
              <w:rPr>
                <w:rFonts w:hint="eastAsia" w:ascii="方正仿宋_GBK" w:hAnsi="宋体" w:eastAsia="方正仿宋_GBK" w:cs="宋体"/>
                <w:kern w:val="0"/>
                <w:lang w:val="en-US" w:eastAsia="zh-CN"/>
              </w:rPr>
              <w:t>57000</w:t>
            </w:r>
          </w:p>
        </w:tc>
        <w:tc>
          <w:tcPr>
            <w:tcW w:w="1518"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Times New Roman"/>
                <w:color w:val="auto"/>
                <w:sz w:val="28"/>
                <w:szCs w:val="28"/>
                <w:lang w:val="en-US" w:eastAsia="zh-CN"/>
              </w:rPr>
            </w:pPr>
            <w:r>
              <w:rPr>
                <w:rFonts w:hint="eastAsia" w:ascii="方正仿宋_GBK" w:hAnsi="宋体" w:eastAsia="方正仿宋_GBK" w:cs="Times New Roman"/>
                <w:color w:val="auto"/>
                <w:sz w:val="28"/>
                <w:szCs w:val="28"/>
                <w:lang w:val="en-US" w:eastAsia="zh-CN"/>
              </w:rPr>
              <w:t>3</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r>
              <w:rPr>
                <w:rFonts w:hint="eastAsia" w:ascii="方正仿宋_GBK" w:hAnsi="宋体" w:eastAsia="方正仿宋_GBK"/>
                <w:color w:val="auto"/>
                <w:sz w:val="28"/>
                <w:szCs w:val="28"/>
                <w:lang w:eastAsia="zh-CN"/>
              </w:rPr>
              <w:t>脚踏运动自行车</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5800</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5800</w:t>
            </w:r>
          </w:p>
        </w:tc>
        <w:tc>
          <w:tcPr>
            <w:tcW w:w="1518"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155800</w:t>
            </w:r>
          </w:p>
        </w:tc>
        <w:tc>
          <w:tcPr>
            <w:tcW w:w="1518" w:type="dxa"/>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bookmarkEnd w:id="0"/>
    </w:tbl>
    <w:p>
      <w:pPr>
        <w:snapToGrid w:val="0"/>
        <w:spacing w:line="400" w:lineRule="exact"/>
        <w:rPr>
          <w:rFonts w:ascii="方正仿宋_GBK" w:hAnsi="宋体" w:eastAsia="方正仿宋_GBK"/>
          <w:color w:val="FF0000"/>
          <w:sz w:val="28"/>
          <w:szCs w:val="28"/>
        </w:rPr>
      </w:pPr>
    </w:p>
    <w:p>
      <w:pPr>
        <w:snapToGrid w:val="0"/>
        <w:spacing w:line="400" w:lineRule="exac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snapToGrid w:val="0"/>
        <w:spacing w:line="380" w:lineRule="exact"/>
        <w:ind w:firstLine="420" w:firstLineChars="150"/>
        <w:rPr>
          <w:rFonts w:hint="eastAsia" w:ascii="方正仿宋_GBK" w:hAnsi="宋体" w:eastAsia="方正仿宋_GBK" w:cs="Times New Roman"/>
          <w:sz w:val="28"/>
          <w:szCs w:val="28"/>
          <w:lang w:eastAsia="zh-CN"/>
        </w:rPr>
      </w:pPr>
      <w:r>
        <w:rPr>
          <w:rFonts w:hint="eastAsia" w:ascii="方正仿宋_GBK" w:hAnsi="宋体" w:eastAsia="方正仿宋_GBK" w:cs="Times New Roman"/>
          <w:sz w:val="28"/>
          <w:szCs w:val="28"/>
          <w:lang w:eastAsia="zh-CN"/>
        </w:rPr>
        <w:t>（二）特定资格条件（如果有）</w:t>
      </w:r>
    </w:p>
    <w:p>
      <w:pPr>
        <w:snapToGrid w:val="0"/>
        <w:spacing w:line="380" w:lineRule="exac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 xml:space="preserve"> 1、须具有所提供产品有效期内的《中华人民共和国医疗器械注册证》，若注册证有附件的，还须提供附件（提供注册证复印件，注册证有附件的还须提供注册证附件复印件）；</w:t>
      </w:r>
    </w:p>
    <w:p>
      <w:pPr>
        <w:snapToGrid w:val="0"/>
        <w:spacing w:line="380" w:lineRule="exac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三、文件递交相关说明</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响应文件递交时间</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采购文件发布后至评审时间前（以收到邮寄的响应文件为准）</w:t>
      </w:r>
      <w:r>
        <w:rPr>
          <w:rFonts w:hint="eastAsia" w:ascii="方正仿宋_GBK" w:hAnsi="方正仿宋_GBK" w:eastAsia="方正仿宋_GBK" w:cs="方正仿宋_GBK"/>
          <w:color w:val="auto"/>
          <w:sz w:val="24"/>
          <w:szCs w:val="24"/>
          <w:lang w:val="en-US" w:eastAsia="zh-CN"/>
        </w:rPr>
        <w:t>。</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响应文件递交方式：因疫情原因可采用邮寄方式（邮寄地址和联系方式：重庆市荣昌区人民医院行政楼采购办（一），曹承刚 18183088939）。</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评审时间</w:t>
      </w: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17</w:t>
      </w:r>
      <w:bookmarkStart w:id="33" w:name="_GoBack"/>
      <w:bookmarkEnd w:id="33"/>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10：30（北京时间）</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评审地点：重庆市荣昌区人民医院行政楼3楼会议室（一）。</w:t>
      </w:r>
    </w:p>
    <w:p>
      <w:pPr>
        <w:numPr>
          <w:ilvl w:val="0"/>
          <w:numId w:val="1"/>
        </w:numPr>
        <w:snapToGrid w:val="0"/>
        <w:spacing w:line="380" w:lineRule="exact"/>
        <w:ind w:left="454" w:leftChars="0" w:firstLine="0" w:firstLineChars="0"/>
        <w:outlineLvl w:val="9"/>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监督投诉：诸女士  023-46331880</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四、评审方式及相关说明</w:t>
      </w:r>
    </w:p>
    <w:p>
      <w:pPr>
        <w:spacing w:line="56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en-US" w:eastAsia="zh-CN"/>
        </w:rPr>
        <w:t>1、</w:t>
      </w:r>
      <w:r>
        <w:rPr>
          <w:rFonts w:hint="eastAsia" w:ascii="方正仿宋_GBK" w:hAnsi="方正仿宋_GBK" w:eastAsia="方正仿宋_GBK" w:cs="方正仿宋_GBK"/>
          <w:color w:val="auto"/>
          <w:sz w:val="24"/>
          <w:szCs w:val="24"/>
          <w:u w:val="single"/>
        </w:rPr>
        <w:t>最低价</w:t>
      </w:r>
      <w:r>
        <w:rPr>
          <w:rFonts w:hint="eastAsia" w:ascii="方正仿宋_GBK" w:hAnsi="方正仿宋_GBK" w:eastAsia="方正仿宋_GBK" w:cs="方正仿宋_GBK"/>
          <w:color w:val="auto"/>
          <w:sz w:val="24"/>
          <w:szCs w:val="24"/>
          <w:u w:val="single"/>
          <w:lang w:eastAsia="zh-CN"/>
        </w:rPr>
        <w:t>评审</w:t>
      </w:r>
      <w:r>
        <w:rPr>
          <w:rFonts w:hint="eastAsia" w:ascii="方正仿宋_GBK" w:hAnsi="方正仿宋_GBK" w:eastAsia="方正仿宋_GBK" w:cs="方正仿宋_GBK"/>
          <w:color w:val="auto"/>
          <w:sz w:val="24"/>
          <w:szCs w:val="24"/>
          <w:u w:val="single"/>
        </w:rPr>
        <w:t>法，经评审符合要求的最低报价供应商为成交供应商。</w:t>
      </w:r>
    </w:p>
    <w:p>
      <w:pPr>
        <w:spacing w:line="560" w:lineRule="exact"/>
        <w:ind w:firstLine="480" w:firstLineChars="200"/>
        <w:rPr>
          <w:rFonts w:hint="eastAsia"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u w:val="single"/>
          <w:lang w:val="en-US" w:eastAsia="zh-CN"/>
        </w:rPr>
        <w:t>2、响应供应商法定代表人或授权人未参加评审过程的视为认同评审结果。</w:t>
      </w:r>
    </w:p>
    <w:p>
      <w:pPr>
        <w:snapToGrid w:val="0"/>
        <w:spacing w:line="400" w:lineRule="exac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五、项目参数（必须全部满足）</w:t>
      </w:r>
    </w:p>
    <w:p>
      <w:pPr>
        <w:pStyle w:val="2"/>
        <w:keepNext w:val="0"/>
        <w:keepLines w:val="0"/>
        <w:pageBreakBefore w:val="0"/>
        <w:kinsoku/>
        <w:wordWrap/>
        <w:overflowPunct/>
        <w:topLinePunct w:val="0"/>
        <w:autoSpaceDE/>
        <w:autoSpaceDN/>
        <w:bidi w:val="0"/>
        <w:snapToGrid/>
        <w:spacing w:line="380" w:lineRule="exact"/>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（一）高压注射枪</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具有“直接压力传感器”实时检测注射压力，在压力异常时及时停止运行并自动报警，有效防止注射渗漏；</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具备“排气确认”保护按钮，需要先排气确认后才能进行注射，有效保护患者安全，避免空气栓塞；</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采用软件停止和硬件开关两种停止方式，以及具备紧急开关；</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注射过程实时监控，本地和远程控制盒均可在必要时即时暂停或停止；</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发生故障时，系统自动根据故障等级发出声光报警；</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具有试注射功能，利于确认液路连通；试注射速度:0.1～1.0ml/s，试注射药量:0.1～3ml；</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在预案中设置“暂停”时，系统能自动启用KVO功能；</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使用的注射器容量是200ml</w:t>
      </w:r>
      <w:r>
        <w:rPr>
          <w:rFonts w:hint="eastAsia" w:ascii="方正仿宋_GBK" w:hAnsi="方正仿宋_GBK" w:eastAsia="方正仿宋_GBK" w:cs="方正仿宋_GBK"/>
          <w:color w:val="000000"/>
          <w:sz w:val="24"/>
          <w:szCs w:val="24"/>
          <w:lang w:eastAsia="zh-CN"/>
        </w:rPr>
        <w:t>（两支</w:t>
      </w:r>
      <w:r>
        <w:rPr>
          <w:rFonts w:hint="default"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规格</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注射速率范围：0.1-10ml/s；</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具有四档注射压力设置：100、150、200、250Psi；</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可保存的预案数达120个，每个预案可设置8个步骤；</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扫描延时和注射延时是0-600s，以增量1s；</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电源要求符合我院使用要求，AC.220V 50Hz，≤250VA；</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机头尾部LED指示灯可旋转发光，直接反映注射、吸药状态。</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注射同步检测，具有在注射堵塞时报警停机；</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注射头、移动台车式主机和近端控制盒是一体化，在病人近端也可进行所有操作；</w:t>
      </w:r>
    </w:p>
    <w:p>
      <w:pPr>
        <w:numPr>
          <w:ilvl w:val="0"/>
          <w:numId w:val="2"/>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除注射前的准备工作外，正常操作均可通过屏蔽室外的远端控制盒进行，近端和远端操作屏是完全同步</w:t>
      </w:r>
      <w:r>
        <w:rPr>
          <w:rFonts w:hint="eastAsia" w:ascii="方正仿宋_GBK" w:hAnsi="方正仿宋_GBK" w:eastAsia="方正仿宋_GBK" w:cs="方正仿宋_GBK"/>
          <w:color w:val="000000"/>
          <w:sz w:val="24"/>
          <w:szCs w:val="24"/>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bCs/>
          <w:sz w:val="24"/>
          <w:szCs w:val="24"/>
          <w:highlight w:val="none"/>
          <w:lang w:eastAsia="zh-CN"/>
        </w:rPr>
      </w:pPr>
      <w:r>
        <w:rPr>
          <w:rFonts w:hint="eastAsia" w:ascii="方正仿宋_GBK" w:hAnsi="方正仿宋_GBK" w:eastAsia="方正仿宋_GBK" w:cs="方正仿宋_GBK"/>
          <w:b/>
          <w:bCs/>
          <w:sz w:val="24"/>
          <w:szCs w:val="24"/>
          <w:highlight w:val="none"/>
          <w:lang w:eastAsia="zh-CN"/>
        </w:rPr>
        <w:t>（二）一次性使用高压造影注射器及附件</w:t>
      </w:r>
    </w:p>
    <w:p>
      <w:pPr>
        <w:pStyle w:val="8"/>
        <w:tabs>
          <w:tab w:val="left" w:pos="4905"/>
        </w:tabs>
        <w:spacing w:line="400" w:lineRule="exact"/>
        <w:ind w:left="0" w:leftChars="0" w:firstLine="0" w:firstLineChars="0"/>
        <w:rPr>
          <w:rFonts w:hint="eastAsia" w:ascii="方正仿宋_GBK" w:eastAsia="方正仿宋_GBK"/>
          <w:bCs/>
          <w:color w:val="auto"/>
          <w:sz w:val="24"/>
          <w:szCs w:val="24"/>
          <w:highlight w:val="none"/>
          <w:lang w:val="en-US" w:eastAsia="zh-CN"/>
        </w:rPr>
      </w:pPr>
      <w:r>
        <w:rPr>
          <w:rFonts w:hint="eastAsia" w:ascii="方正仿宋_GBK" w:eastAsia="方正仿宋_GBK"/>
          <w:bCs/>
          <w:color w:val="auto"/>
          <w:sz w:val="24"/>
          <w:szCs w:val="24"/>
          <w:highlight w:val="none"/>
          <w:lang w:val="en-US" w:eastAsia="zh-CN"/>
        </w:rPr>
        <w:t>1、本耗材属</w:t>
      </w:r>
      <w:r>
        <w:rPr>
          <w:rFonts w:hint="eastAsia" w:ascii="方正仿宋_GBK" w:hAnsi="方正仿宋_GBK" w:eastAsia="方正仿宋_GBK" w:cs="方正仿宋_GBK"/>
          <w:color w:val="000000"/>
          <w:sz w:val="24"/>
          <w:szCs w:val="24"/>
          <w:highlight w:val="none"/>
          <w:lang w:eastAsia="zh-CN"/>
        </w:rPr>
        <w:t>专机专用配套耗材，</w:t>
      </w:r>
      <w:r>
        <w:rPr>
          <w:rFonts w:hint="eastAsia" w:ascii="方正仿宋_GBK" w:eastAsia="方正仿宋_GBK"/>
          <w:bCs/>
          <w:color w:val="auto"/>
          <w:sz w:val="24"/>
          <w:szCs w:val="24"/>
          <w:highlight w:val="none"/>
          <w:lang w:val="en-US" w:eastAsia="zh-CN"/>
        </w:rPr>
        <w:t>只确定供货单价，</w:t>
      </w:r>
      <w:r>
        <w:rPr>
          <w:rFonts w:hint="eastAsia" w:ascii="方正仿宋_GBK" w:hAnsi="方正仿宋_GBK" w:eastAsia="方正仿宋_GBK" w:cs="方正仿宋_GBK"/>
          <w:color w:val="000000"/>
          <w:sz w:val="24"/>
          <w:szCs w:val="24"/>
          <w:highlight w:val="none"/>
          <w:lang w:eastAsia="zh-CN"/>
        </w:rPr>
        <w:t>采购期</w:t>
      </w:r>
      <w:r>
        <w:rPr>
          <w:rFonts w:hint="eastAsia" w:ascii="方正仿宋_GBK" w:hAnsi="方正仿宋_GBK" w:eastAsia="方正仿宋_GBK" w:cs="方正仿宋_GBK"/>
          <w:color w:val="000000"/>
          <w:sz w:val="24"/>
          <w:szCs w:val="24"/>
          <w:highlight w:val="none"/>
          <w:lang w:val="en-US" w:eastAsia="zh-CN"/>
        </w:rPr>
        <w:t>3年，</w:t>
      </w:r>
      <w:r>
        <w:rPr>
          <w:rFonts w:hint="eastAsia" w:ascii="方正仿宋_GBK" w:hAnsi="宋体" w:eastAsia="方正仿宋_GBK"/>
          <w:color w:val="auto"/>
          <w:sz w:val="24"/>
          <w:szCs w:val="24"/>
          <w:highlight w:val="none"/>
          <w:lang w:eastAsia="zh-CN"/>
        </w:rPr>
        <w:t>根据采购人需求送货，据实结算。</w:t>
      </w:r>
      <w:r>
        <w:rPr>
          <w:rFonts w:hint="eastAsia" w:ascii="方正仿宋_GBK" w:eastAsia="方正仿宋_GBK"/>
          <w:bCs/>
          <w:color w:val="auto"/>
          <w:sz w:val="24"/>
          <w:szCs w:val="24"/>
          <w:highlight w:val="none"/>
          <w:lang w:val="en-US" w:eastAsia="zh-CN"/>
        </w:rPr>
        <w:t>在重庆市药交网采购，不能网下进行采购。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r>
        <w:rPr>
          <w:rFonts w:hint="eastAsia" w:ascii="方正仿宋_GBK" w:eastAsia="方正仿宋_GBK"/>
          <w:bCs/>
          <w:color w:val="auto"/>
          <w:sz w:val="24"/>
          <w:szCs w:val="24"/>
          <w:highlight w:val="none"/>
          <w:lang w:val="en-US" w:eastAsia="zh-CN"/>
        </w:rPr>
        <w:t>2、合同期内</w:t>
      </w:r>
      <w:r>
        <w:rPr>
          <w:rFonts w:hint="eastAsia" w:ascii="方正仿宋_GBK" w:hAnsi="方正仿宋_GBK" w:eastAsia="方正仿宋_GBK" w:cs="方正仿宋_GBK"/>
          <w:color w:val="auto"/>
          <w:sz w:val="24"/>
          <w:szCs w:val="24"/>
          <w:highlight w:val="none"/>
          <w:lang w:val="en-US" w:eastAsia="zh-CN"/>
        </w:rPr>
        <w:t>耗材将通过SPD平台配送。SPD平台供应商会根据实际情况收取不高于8%的配送服务费。</w:t>
      </w:r>
      <w:r>
        <w:rPr>
          <w:rFonts w:hint="eastAsia" w:ascii="方正仿宋_GBK" w:eastAsia="方正仿宋_GBK"/>
          <w:bCs/>
          <w:color w:val="auto"/>
          <w:sz w:val="24"/>
          <w:szCs w:val="24"/>
          <w:highlight w:val="none"/>
          <w:lang w:val="en-US" w:eastAsia="zh-CN"/>
        </w:rPr>
        <w:t>成交供应商接到采购人的送货通知后必须按照采购人规定的时间完成配送，在规定时间内未完成配送的每次扣款1000元。影响采购人正常使用的，赔偿相应损失。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eastAsia="方正仿宋_GBK"/>
          <w:bCs/>
          <w:color w:val="auto"/>
          <w:sz w:val="24"/>
          <w:szCs w:val="24"/>
          <w:highlight w:val="none"/>
          <w:lang w:val="en-US" w:eastAsia="zh-CN"/>
        </w:rPr>
      </w:pPr>
      <w:r>
        <w:rPr>
          <w:rFonts w:hint="eastAsia" w:ascii="方正仿宋_GBK" w:eastAsia="方正仿宋_GBK"/>
          <w:bCs/>
          <w:color w:val="auto"/>
          <w:sz w:val="24"/>
          <w:szCs w:val="24"/>
          <w:highlight w:val="none"/>
          <w:lang w:val="en-US" w:eastAsia="zh-CN"/>
        </w:rPr>
        <w:t>3、供应商应对成交产品的质量负责，并在合同中明确质量承诺，如在医院或上级有关部门抽查中发现配送的产品不符合国家相关规定或采购文件技术要求的，出现一次扣款2000元，出现两次合同自动终止，且不退还履约保证金。</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方正仿宋_GBK" w:hAnsi="Times New Roman" w:eastAsia="方正仿宋_GBK" w:cs="Times New Roman"/>
          <w:bCs/>
          <w:color w:val="auto"/>
          <w:sz w:val="24"/>
          <w:szCs w:val="24"/>
          <w:highlight w:val="none"/>
          <w:lang w:val="en-US" w:eastAsia="zh-CN"/>
        </w:rPr>
      </w:pPr>
      <w:r>
        <w:rPr>
          <w:rFonts w:hint="eastAsia" w:ascii="方正仿宋_GBK" w:hAnsi="Times New Roman" w:eastAsia="方正仿宋_GBK" w:cs="Times New Roman"/>
          <w:bCs/>
          <w:color w:val="auto"/>
          <w:sz w:val="24"/>
          <w:szCs w:val="24"/>
          <w:highlight w:val="none"/>
          <w:lang w:val="en-US" w:eastAsia="zh-CN"/>
        </w:rPr>
        <w:t>4、若合同有效期内耗材市场价格下调超过合同单价的5%，则按下调后的价格执行。</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Times New Roman" w:eastAsia="方正仿宋_GBK" w:cs="Times New Roman"/>
          <w:bCs/>
          <w:color w:val="auto"/>
          <w:sz w:val="24"/>
          <w:szCs w:val="24"/>
          <w:highlight w:val="red"/>
          <w:lang w:val="en-US" w:eastAsia="zh-CN"/>
        </w:rPr>
      </w:pPr>
      <w:r>
        <w:rPr>
          <w:rFonts w:hint="eastAsia" w:ascii="方正仿宋_GBK" w:hAnsi="Times New Roman" w:eastAsia="方正仿宋_GBK" w:cs="Times New Roman"/>
          <w:bCs/>
          <w:color w:val="auto"/>
          <w:sz w:val="24"/>
          <w:szCs w:val="24"/>
          <w:highlight w:val="none"/>
          <w:lang w:val="en-US" w:eastAsia="zh-CN"/>
        </w:rPr>
        <w:t>5、供应商负责送货到采购人指定位置，并完成卸货。</w:t>
      </w:r>
    </w:p>
    <w:p>
      <w:pPr>
        <w:numPr>
          <w:ilvl w:val="0"/>
          <w:numId w:val="0"/>
        </w:numPr>
        <w:spacing w:line="240" w:lineRule="auto"/>
        <w:ind w:leftChars="0"/>
        <w:rPr>
          <w:rFonts w:hint="default" w:ascii="方正仿宋_GBK" w:hAnsi="方正仿宋_GBK" w:eastAsia="方正仿宋_GBK" w:cs="方正仿宋_GBK"/>
          <w:color w:val="000000"/>
          <w:sz w:val="24"/>
          <w:szCs w:val="24"/>
          <w:highlight w:val="red"/>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eastAsia="zh-CN"/>
        </w:rPr>
        <w:t>（三）病人监护仪</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便携式一体化监护仪，固定式提手。</w:t>
      </w:r>
    </w:p>
    <w:p>
      <w:pPr>
        <w:pStyle w:val="25"/>
        <w:numPr>
          <w:ilvl w:val="0"/>
          <w:numId w:val="3"/>
        </w:numPr>
        <w:spacing w:line="240" w:lineRule="auto"/>
        <w:ind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可监测心电、血氧、脉博、无创血压、呼吸、体温等基础参数，可升级Masimo/Nellcor SPO2、2IBP、ETCO2等参数。</w:t>
      </w:r>
    </w:p>
    <w:p>
      <w:pPr>
        <w:pStyle w:val="25"/>
        <w:numPr>
          <w:ilvl w:val="0"/>
          <w:numId w:val="3"/>
        </w:numPr>
        <w:spacing w:line="240" w:lineRule="auto"/>
        <w:ind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心电（心律失常、ST段分析）、呼吸、体温、血氧、无创血压、有创血压、呼末二氧化碳等监测参数可适用于成人、小儿、新生儿。</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≥10.4英寸触摸屏，触控操作。</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支持手写中文输入。</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支持标准界面、列表界面、趋势共存界面、呼吸氧合图界面、它床观察界面、大字体界面、半屏7导、全屏7导界面等多种界面。</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心电：支持3/5/12导心电，具有智能导联脱落，多导同步分析功能。</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具有ECG全屏级联。</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心律失常分析≥26种。</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具有ST段分析功能。支持在专门的窗口中分组显示心脏前壁，下壁和侧壁的ST实时片段和参考片段。</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血氧：可选Masimo血氧，测量范围为1 ％ ～100％；在70％～100％范围内，成人/儿童测量精度为±2％（非运动状态下）、±3％（运动状态下），新生儿为±3％（非运动状态和运动状态下）。</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可显示灌注指数（PI），测量范围0.02-20％。</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具有NIBP与血氧同侧测量功能。</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NIBP具有手动、自动、连续、整点测量模式。</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NIBP具有辅助静脉穿刺功能。</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IBP监护可实时监测PPV/SPV，IBP波形叠加显示。</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IBP监护可测量10余种压力项目。</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呼末CO</w:t>
      </w:r>
      <w:r>
        <w:rPr>
          <w:rFonts w:hint="eastAsia" w:ascii="方正仿宋_GBK" w:hAnsi="方正仿宋_GBK" w:eastAsia="方正仿宋_GBK" w:cs="方正仿宋_GBK"/>
          <w:color w:val="000000"/>
          <w:sz w:val="24"/>
          <w:szCs w:val="24"/>
          <w:vertAlign w:val="subscript"/>
        </w:rPr>
        <w:t>2</w:t>
      </w:r>
      <w:r>
        <w:rPr>
          <w:rFonts w:hint="eastAsia" w:ascii="方正仿宋_GBK" w:hAnsi="方正仿宋_GBK" w:eastAsia="方正仿宋_GBK" w:cs="方正仿宋_GBK"/>
          <w:color w:val="000000"/>
          <w:sz w:val="24"/>
          <w:szCs w:val="24"/>
        </w:rPr>
        <w:t>测量范围0-190mmHg，awRR测量范围0-150rpm。</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具有数据存储功能，120小时趋势图/趋势表、2000组无创血压测量回顾、48小时全息波形回顾。</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具有待机模式、夜间模式、隐私模式、体外循环模式。</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支持连接同品牌中央监护系统。</w:t>
      </w:r>
    </w:p>
    <w:p>
      <w:pPr>
        <w:numPr>
          <w:ilvl w:val="0"/>
          <w:numId w:val="3"/>
        </w:numPr>
        <w:spacing w:line="24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产品通过CE、CFDA认证。</w:t>
      </w:r>
    </w:p>
    <w:p>
      <w:pPr>
        <w:numPr>
          <w:ilvl w:val="0"/>
          <w:numId w:val="0"/>
        </w:numPr>
        <w:spacing w:line="240" w:lineRule="auto"/>
        <w:ind w:leftChars="0"/>
        <w:rPr>
          <w:rFonts w:hint="eastAsia" w:ascii="方正仿宋_GBK" w:hAnsi="方正仿宋_GBK" w:eastAsia="方正仿宋_GBK" w:cs="方正仿宋_GBK"/>
          <w:color w:val="000000"/>
          <w:sz w:val="24"/>
          <w:szCs w:val="24"/>
        </w:rPr>
      </w:pPr>
    </w:p>
    <w:p>
      <w:pPr>
        <w:pStyle w:val="2"/>
        <w:keepNext w:val="0"/>
        <w:keepLines w:val="0"/>
        <w:pageBreakBefore w:val="0"/>
        <w:kinsoku/>
        <w:wordWrap/>
        <w:overflowPunct/>
        <w:topLinePunct w:val="0"/>
        <w:autoSpaceDE/>
        <w:autoSpaceDN/>
        <w:bidi w:val="0"/>
        <w:snapToGrid/>
        <w:spacing w:line="380" w:lineRule="exact"/>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（四）脚踏运动自行车</w:t>
      </w:r>
    </w:p>
    <w:p>
      <w:pPr>
        <w:pStyle w:val="2"/>
        <w:keepNext w:val="0"/>
        <w:keepLines w:val="0"/>
        <w:pageBreakBefore w:val="0"/>
        <w:numPr>
          <w:ilvl w:val="0"/>
          <w:numId w:val="4"/>
        </w:numPr>
        <w:kinsoku/>
        <w:wordWrap/>
        <w:overflowPunct/>
        <w:topLinePunct w:val="0"/>
        <w:autoSpaceDE/>
        <w:autoSpaceDN/>
        <w:bidi w:val="0"/>
        <w:snapToGrid/>
        <w:spacing w:line="380" w:lineRule="exact"/>
        <w:ind w:left="425" w:leftChars="0" w:hanging="425"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电子表的功能：显示窗口：时间、距离、卡路里、速度、心率</w:t>
      </w:r>
    </w:p>
    <w:p>
      <w:pPr>
        <w:numPr>
          <w:ilvl w:val="0"/>
          <w:numId w:val="4"/>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静音双向皮带传动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舒适双色PU座垫，座垫调节管可垂直前后可调</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最大使用者承重力100 kg座垫额定载荷kg：135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规格(</w:t>
      </w:r>
      <w:r>
        <w:rPr>
          <w:rFonts w:hint="eastAsia" w:ascii="方正仿宋_GBK" w:hAnsi="方正仿宋_GBK" w:eastAsia="方正仿宋_GBK" w:cs="方正仿宋_GBK"/>
          <w:color w:val="000000"/>
          <w:sz w:val="24"/>
          <w:szCs w:val="24"/>
          <w:lang w:eastAsia="zh-CN"/>
        </w:rPr>
        <w:t>mm</w:t>
      </w:r>
      <w:r>
        <w:rPr>
          <w:rFonts w:hint="eastAsia" w:ascii="方正仿宋_GBK" w:hAnsi="方正仿宋_GBK" w:eastAsia="方正仿宋_GBK" w:cs="方正仿宋_GBK"/>
          <w:color w:val="000000"/>
          <w:sz w:val="24"/>
          <w:szCs w:val="24"/>
        </w:rPr>
        <w:t>)：900*520*1250</w:t>
      </w:r>
    </w:p>
    <w:p>
      <w:pPr>
        <w:numPr>
          <w:ilvl w:val="0"/>
          <w:numId w:val="4"/>
        </w:numPr>
        <w:spacing w:line="240" w:lineRule="auto"/>
        <w:ind w:left="425" w:leftChars="0" w:hanging="425"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用途：用于下肢关节活动、肌力及协调功能训练</w:t>
      </w:r>
    </w:p>
    <w:p>
      <w:pPr>
        <w:numPr>
          <w:ilvl w:val="0"/>
          <w:numId w:val="0"/>
        </w:numPr>
        <w:spacing w:line="240" w:lineRule="auto"/>
        <w:ind w:leftChars="0"/>
        <w:rPr>
          <w:rFonts w:hint="eastAsia" w:ascii="方正仿宋_GBK" w:hAnsi="方正仿宋_GBK" w:eastAsia="方正仿宋_GBK" w:cs="方正仿宋_GBK"/>
          <w:color w:val="000000"/>
          <w:sz w:val="24"/>
          <w:szCs w:val="24"/>
        </w:rPr>
      </w:pPr>
    </w:p>
    <w:p>
      <w:pPr>
        <w:snapToGrid w:val="0"/>
        <w:spacing w:line="400" w:lineRule="exact"/>
        <w:rPr>
          <w:rFonts w:ascii="方正黑体_GBK" w:hAnsi="宋体" w:eastAsia="方正黑体_GBK"/>
          <w:sz w:val="28"/>
          <w:szCs w:val="28"/>
        </w:rPr>
      </w:pPr>
      <w:r>
        <w:rPr>
          <w:rFonts w:hint="eastAsia" w:ascii="方正黑体_GBK" w:hAnsi="宋体" w:eastAsia="方正黑体_GBK"/>
          <w:sz w:val="28"/>
          <w:szCs w:val="28"/>
        </w:rPr>
        <w:t>六、商务要求（必须全部满足）</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snapToGrid w:val="0"/>
        <w:spacing w:line="400" w:lineRule="exact"/>
        <w:ind w:firstLine="480" w:firstLineChars="200"/>
        <w:rPr>
          <w:rFonts w:ascii="方正仿宋_GBK" w:hAnsi="宋体" w:eastAsia="方正仿宋_GBK"/>
          <w:color w:val="auto"/>
          <w:sz w:val="24"/>
          <w:u w:val="none"/>
        </w:rPr>
      </w:pPr>
      <w:r>
        <w:rPr>
          <w:rFonts w:hint="eastAsia" w:ascii="方正仿宋_GBK" w:hAnsi="宋体" w:eastAsia="方正仿宋_GBK"/>
          <w:color w:val="auto"/>
          <w:sz w:val="24"/>
          <w:u w:val="none"/>
        </w:rPr>
        <w:t>1.交货时间</w:t>
      </w:r>
    </w:p>
    <w:p>
      <w:pPr>
        <w:snapToGrid w:val="0"/>
        <w:spacing w:line="400" w:lineRule="exact"/>
        <w:ind w:firstLine="480" w:firstLineChars="200"/>
        <w:rPr>
          <w:rFonts w:ascii="方正仿宋_GBK" w:hAnsi="宋体" w:eastAsia="方正仿宋_GBK"/>
          <w:color w:val="auto"/>
          <w:sz w:val="24"/>
          <w:u w:val="none"/>
        </w:rPr>
      </w:pPr>
      <w:r>
        <w:rPr>
          <w:rFonts w:hint="eastAsia" w:ascii="方正仿宋_GBK" w:hAnsi="宋体" w:eastAsia="方正仿宋_GBK"/>
          <w:color w:val="auto"/>
          <w:sz w:val="24"/>
          <w:u w:val="none"/>
          <w:lang w:val="zh-CN"/>
        </w:rPr>
        <w:t>采购合同签订后</w:t>
      </w:r>
      <w:r>
        <w:rPr>
          <w:rFonts w:hint="eastAsia" w:ascii="方正仿宋_GBK" w:hAnsi="宋体" w:eastAsia="方正仿宋_GBK"/>
          <w:color w:val="auto"/>
          <w:sz w:val="24"/>
          <w:u w:val="none"/>
          <w:lang w:val="en-US" w:eastAsia="zh-CN"/>
        </w:rPr>
        <w:t>30</w:t>
      </w:r>
      <w:r>
        <w:rPr>
          <w:rFonts w:hint="eastAsia" w:ascii="方正仿宋_GBK" w:hAnsi="宋体" w:eastAsia="方正仿宋_GBK"/>
          <w:color w:val="auto"/>
          <w:sz w:val="24"/>
          <w:u w:val="none"/>
          <w:lang w:val="zh-CN"/>
        </w:rPr>
        <w:t>个日历日以内全部交货并完成安装调试</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2.交货地点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交货地点：重庆市</w:t>
      </w:r>
      <w:r>
        <w:rPr>
          <w:rFonts w:hint="eastAsia" w:ascii="方正仿宋_GBK" w:hAnsi="宋体" w:eastAsia="方正仿宋_GBK"/>
          <w:color w:val="auto"/>
          <w:sz w:val="24"/>
          <w:lang w:val="zh-CN"/>
        </w:rPr>
        <w:t>荣昌区人民医院指定地点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3.验收方式</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4"/>
        <w:spacing w:before="0" w:after="0" w:line="400" w:lineRule="exact"/>
        <w:rPr>
          <w:rFonts w:ascii="方正仿宋_GBK" w:hAnsi="宋体" w:eastAsia="方正仿宋_GBK"/>
          <w:sz w:val="24"/>
          <w:szCs w:val="24"/>
        </w:rPr>
      </w:pPr>
      <w:bookmarkStart w:id="1" w:name="_Toc344475121"/>
      <w:bookmarkStart w:id="2" w:name="_Toc511909616"/>
      <w:r>
        <w:rPr>
          <w:rFonts w:hint="eastAsia" w:ascii="方正仿宋_GBK" w:hAnsi="宋体" w:eastAsia="方正仿宋_GBK"/>
          <w:sz w:val="24"/>
          <w:szCs w:val="24"/>
        </w:rPr>
        <w:t>（二）质量保证及服务</w:t>
      </w:r>
      <w:bookmarkEnd w:id="1"/>
      <w:bookmarkEnd w:id="2"/>
      <w:r>
        <w:rPr>
          <w:rFonts w:hint="eastAsia" w:ascii="方正仿宋_GBK" w:hAnsi="宋体" w:eastAsia="方正仿宋_GBK"/>
          <w:sz w:val="24"/>
          <w:szCs w:val="24"/>
        </w:rPr>
        <w:t>要求</w:t>
      </w:r>
    </w:p>
    <w:p>
      <w:pPr>
        <w:snapToGrid w:val="0"/>
        <w:spacing w:line="400" w:lineRule="exact"/>
        <w:ind w:firstLine="482" w:firstLineChars="200"/>
        <w:rPr>
          <w:rFonts w:ascii="方正仿宋_GBK" w:hAnsi="宋体" w:eastAsia="方正仿宋_GBK"/>
          <w:b/>
          <w:color w:val="auto"/>
          <w:sz w:val="24"/>
          <w:u w:val="none"/>
        </w:rPr>
      </w:pPr>
      <w:bookmarkStart w:id="3" w:name="_Toc511909617"/>
      <w:bookmarkStart w:id="4" w:name="_Toc344475122"/>
      <w:r>
        <w:rPr>
          <w:rFonts w:hint="eastAsia" w:ascii="方正仿宋_GBK" w:hAnsi="宋体" w:eastAsia="方正仿宋_GBK"/>
          <w:b/>
          <w:color w:val="auto"/>
          <w:sz w:val="24"/>
          <w:u w:val="none"/>
        </w:rPr>
        <w:t>产品质量保证期</w:t>
      </w:r>
    </w:p>
    <w:p>
      <w:pPr>
        <w:snapToGrid w:val="0"/>
        <w:spacing w:line="400" w:lineRule="exact"/>
        <w:ind w:firstLine="480" w:firstLineChars="200"/>
        <w:rPr>
          <w:rFonts w:ascii="方正仿宋_GBK" w:hAnsi="宋体" w:eastAsia="方正仿宋_GBK"/>
          <w:color w:val="auto"/>
          <w:sz w:val="24"/>
          <w:u w:val="none"/>
        </w:rPr>
      </w:pPr>
      <w:r>
        <w:rPr>
          <w:rFonts w:hint="eastAsia" w:ascii="方正仿宋_GBK" w:hAnsi="宋体" w:eastAsia="方正仿宋_GBK"/>
          <w:color w:val="auto"/>
          <w:sz w:val="24"/>
          <w:u w:val="none"/>
        </w:rPr>
        <w:t>1、供应商应明确承诺：产品质保期</w:t>
      </w:r>
      <w:r>
        <w:rPr>
          <w:rFonts w:hint="eastAsia" w:ascii="仿宋" w:hAnsi="仿宋" w:eastAsia="仿宋" w:cs="仿宋"/>
          <w:color w:val="auto"/>
          <w:sz w:val="24"/>
          <w:u w:val="none"/>
        </w:rPr>
        <w:t>≥</w:t>
      </w:r>
      <w:r>
        <w:rPr>
          <w:rFonts w:hint="eastAsia" w:ascii="方正仿宋_GBK" w:hAnsi="宋体" w:eastAsia="方正仿宋_GBK"/>
          <w:color w:val="auto"/>
          <w:sz w:val="24"/>
          <w:u w:val="none"/>
        </w:rPr>
        <w:t>2年</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sz w:val="24"/>
          <w:u w:val="none"/>
        </w:rPr>
      </w:pPr>
      <w:r>
        <w:rPr>
          <w:rFonts w:hint="eastAsia" w:ascii="方正仿宋_GBK" w:hAnsi="宋体" w:eastAsia="方正仿宋_GBK"/>
          <w:b/>
          <w:sz w:val="24"/>
          <w:u w:val="none"/>
        </w:rPr>
        <w:t>售后服务内容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（1）电话咨询</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（2）现场响应</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（3）技术升级</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sz w:val="24"/>
          <w:u w:val="none"/>
        </w:rPr>
      </w:pPr>
      <w:r>
        <w:rPr>
          <w:rFonts w:hint="eastAsia" w:ascii="方正仿宋_GBK" w:hAnsi="宋体" w:eastAsia="方正仿宋_GBK"/>
          <w:b/>
          <w:sz w:val="24"/>
          <w:u w:val="none"/>
        </w:rPr>
        <w:t>备品备件及易损件</w:t>
      </w:r>
    </w:p>
    <w:p>
      <w:pPr>
        <w:snapToGrid w:val="0"/>
        <w:spacing w:line="400" w:lineRule="exac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（三）报价要求</w:t>
      </w:r>
      <w:bookmarkEnd w:id="3"/>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报价包括完成本项目所需的设备或货物购买（制造）费、辅材费、运输费、装卸费、</w:t>
      </w:r>
      <w:r>
        <w:rPr>
          <w:rFonts w:hint="eastAsia" w:ascii="方正仿宋_GBK" w:hAnsi="方正仿宋_GBK" w:eastAsia="方正仿宋_GBK" w:cs="方正仿宋_GBK"/>
          <w:color w:val="auto"/>
          <w:sz w:val="24"/>
          <w:szCs w:val="24"/>
          <w:lang w:val="en-US" w:eastAsia="zh-CN"/>
        </w:rPr>
        <w:t>SPD平台配送、</w:t>
      </w:r>
      <w:r>
        <w:rPr>
          <w:rFonts w:hint="eastAsia" w:ascii="方正仿宋_GBK" w:hAnsi="宋体" w:eastAsia="方正仿宋_GBK"/>
          <w:sz w:val="24"/>
        </w:rPr>
        <w:t>安装调试费、培训费及各种应纳的税费。因成交供应商自身原因造成漏报、少报皆由其自行承担责任，采购人不再补偿。</w:t>
      </w:r>
    </w:p>
    <w:p>
      <w:pPr>
        <w:pStyle w:val="4"/>
        <w:spacing w:before="0" w:after="0" w:line="400" w:lineRule="exact"/>
        <w:rPr>
          <w:rFonts w:ascii="方正仿宋_GBK" w:hAnsi="宋体" w:eastAsia="方正仿宋_GBK"/>
          <w:sz w:val="24"/>
          <w:szCs w:val="24"/>
        </w:rPr>
      </w:pPr>
      <w:bookmarkStart w:id="5" w:name="_Toc511909618"/>
      <w:r>
        <w:rPr>
          <w:rFonts w:hint="eastAsia" w:ascii="方正仿宋_GBK" w:hAnsi="宋体" w:eastAsia="方正仿宋_GBK"/>
          <w:sz w:val="24"/>
          <w:szCs w:val="24"/>
        </w:rPr>
        <w:t>（四）付款方式</w:t>
      </w:r>
      <w:bookmarkEnd w:id="4"/>
      <w:bookmarkEnd w:id="5"/>
      <w:bookmarkStart w:id="6" w:name="_Toc511909619"/>
      <w:bookmarkStart w:id="7" w:name="_Toc344475123"/>
      <w:r>
        <w:rPr>
          <w:rFonts w:hint="eastAsia" w:ascii="方正仿宋_GBK" w:hAnsi="宋体" w:eastAsia="方正仿宋_GBK"/>
          <w:sz w:val="24"/>
          <w:szCs w:val="24"/>
        </w:rPr>
        <w:t xml:space="preserve">  </w:t>
      </w:r>
    </w:p>
    <w:p>
      <w:pPr>
        <w:spacing w:line="500" w:lineRule="exact"/>
        <w:ind w:firstLine="482" w:firstLineChars="200"/>
        <w:rPr>
          <w:rFonts w:hint="eastAsia" w:ascii="方正仿宋_GBK" w:hAnsi="Times New Roman" w:eastAsia="方正仿宋_GBK" w:cs="Times New Roman"/>
          <w:b/>
          <w:bCs/>
          <w:color w:val="000000"/>
          <w:sz w:val="24"/>
          <w:szCs w:val="24"/>
        </w:rPr>
      </w:pPr>
      <w:r>
        <w:rPr>
          <w:rFonts w:hint="eastAsia" w:ascii="方正仿宋_GBK" w:eastAsia="方正仿宋_GBK"/>
          <w:b/>
          <w:bCs/>
          <w:color w:val="000000"/>
          <w:sz w:val="24"/>
          <w:szCs w:val="24"/>
        </w:rPr>
        <w:t>1、</w:t>
      </w:r>
      <w:r>
        <w:rPr>
          <w:rFonts w:hint="eastAsia" w:ascii="方正仿宋_GBK" w:hAnsi="Times New Roman" w:eastAsia="方正仿宋_GBK" w:cs="Times New Roman"/>
          <w:b/>
          <w:bCs/>
          <w:color w:val="000000"/>
          <w:sz w:val="24"/>
          <w:szCs w:val="24"/>
        </w:rPr>
        <w:t>付款方式：转账支付。</w:t>
      </w:r>
    </w:p>
    <w:p>
      <w:pPr>
        <w:spacing w:line="500" w:lineRule="exact"/>
        <w:rPr>
          <w:rFonts w:hint="eastAsia" w:ascii="方正仿宋_GBK" w:hAnsi="Times New Roman" w:eastAsia="方正仿宋_GBK" w:cs="Times New Roman"/>
          <w:b/>
          <w:bCs/>
          <w:color w:val="000000"/>
          <w:sz w:val="24"/>
          <w:szCs w:val="24"/>
        </w:rPr>
      </w:pPr>
      <w:r>
        <w:rPr>
          <w:rFonts w:hint="eastAsia" w:ascii="方正仿宋_GBK" w:hAnsi="Times New Roman" w:eastAsia="方正仿宋_GBK" w:cs="Times New Roman"/>
          <w:b/>
          <w:bCs/>
          <w:color w:val="000000"/>
          <w:sz w:val="24"/>
          <w:szCs w:val="24"/>
        </w:rPr>
        <w:t xml:space="preserve"> </w:t>
      </w:r>
      <w:r>
        <w:rPr>
          <w:rFonts w:hint="eastAsia" w:ascii="方正仿宋_GBK" w:eastAsia="方正仿宋_GBK" w:cs="Times New Roman"/>
          <w:b/>
          <w:bCs/>
          <w:color w:val="000000"/>
          <w:sz w:val="24"/>
          <w:szCs w:val="24"/>
          <w:lang w:val="en-US" w:eastAsia="zh-CN"/>
        </w:rPr>
        <w:t xml:space="preserve">  </w:t>
      </w:r>
      <w:r>
        <w:rPr>
          <w:rFonts w:hint="eastAsia" w:ascii="方正仿宋_GBK" w:hAnsi="Times New Roman" w:eastAsia="方正仿宋_GBK" w:cs="Times New Roman"/>
          <w:b/>
          <w:bCs/>
          <w:color w:val="000000"/>
          <w:sz w:val="24"/>
          <w:szCs w:val="24"/>
        </w:rPr>
        <w:t>2、支付方式：</w:t>
      </w:r>
      <w:r>
        <w:rPr>
          <w:rFonts w:hint="eastAsia" w:ascii="方正仿宋_GBK" w:hAnsi="Times New Roman" w:eastAsia="方正仿宋_GBK" w:cs="Times New Roman"/>
          <w:b/>
          <w:bCs/>
          <w:color w:val="000000"/>
          <w:sz w:val="24"/>
          <w:szCs w:val="24"/>
          <w:lang w:eastAsia="zh-CN"/>
        </w:rPr>
        <w:t>甲方</w:t>
      </w:r>
      <w:r>
        <w:rPr>
          <w:rFonts w:hint="eastAsia" w:ascii="方正仿宋_GBK" w:hAnsi="Times New Roman" w:eastAsia="方正仿宋_GBK" w:cs="Times New Roman"/>
          <w:b/>
          <w:bCs/>
          <w:color w:val="000000"/>
          <w:sz w:val="24"/>
          <w:szCs w:val="24"/>
        </w:rPr>
        <w:t>待验收合格正常运行后</w:t>
      </w:r>
      <w:r>
        <w:rPr>
          <w:rFonts w:hint="eastAsia" w:ascii="方正仿宋_GBK" w:hAnsi="Times New Roman" w:eastAsia="方正仿宋_GBK" w:cs="Times New Roman"/>
          <w:b/>
          <w:bCs/>
          <w:color w:val="000000"/>
          <w:sz w:val="24"/>
          <w:szCs w:val="24"/>
          <w:lang w:val="en-US" w:eastAsia="zh-CN"/>
        </w:rPr>
        <w:t>，乙方应向甲方开具增值税发票，甲方收到发票后1个月内支付乙方合同金额的95%（无息）</w:t>
      </w:r>
      <w:r>
        <w:rPr>
          <w:rFonts w:hint="eastAsia" w:ascii="方正仿宋_GBK" w:hAnsi="Times New Roman" w:eastAsia="方正仿宋_GBK" w:cs="Times New Roman"/>
          <w:b/>
          <w:bCs/>
          <w:color w:val="000000"/>
          <w:sz w:val="24"/>
          <w:szCs w:val="24"/>
          <w:lang w:eastAsia="zh-CN"/>
        </w:rPr>
        <w:t>；</w:t>
      </w:r>
      <w:r>
        <w:rPr>
          <w:rFonts w:hint="eastAsia" w:ascii="方正仿宋_GBK" w:hAnsi="Times New Roman" w:eastAsia="方正仿宋_GBK" w:cs="Times New Roman"/>
          <w:b/>
          <w:bCs/>
          <w:color w:val="000000"/>
          <w:sz w:val="24"/>
          <w:szCs w:val="24"/>
          <w:lang w:val="en-US" w:eastAsia="zh-CN"/>
        </w:rPr>
        <w:t>5</w:t>
      </w:r>
      <w:r>
        <w:rPr>
          <w:rFonts w:hint="eastAsia" w:ascii="方正仿宋_GBK" w:hAnsi="Times New Roman" w:eastAsia="方正仿宋_GBK" w:cs="Times New Roman"/>
          <w:b/>
          <w:bCs/>
          <w:color w:val="000000"/>
          <w:sz w:val="24"/>
          <w:szCs w:val="24"/>
        </w:rPr>
        <w:t>%作为质保金，</w:t>
      </w:r>
      <w:r>
        <w:rPr>
          <w:rFonts w:hint="eastAsia" w:ascii="方正仿宋_GBK" w:hAnsi="Times New Roman" w:eastAsia="方正仿宋_GBK" w:cs="Times New Roman"/>
          <w:b/>
          <w:bCs/>
          <w:color w:val="000000"/>
          <w:sz w:val="24"/>
          <w:szCs w:val="24"/>
          <w:lang w:eastAsia="zh-CN"/>
        </w:rPr>
        <w:t>质保期</w:t>
      </w:r>
      <w:r>
        <w:rPr>
          <w:rFonts w:hint="eastAsia" w:ascii="方正仿宋_GBK" w:hAnsi="Times New Roman" w:eastAsia="方正仿宋_GBK" w:cs="Times New Roman"/>
          <w:b/>
          <w:bCs/>
          <w:color w:val="000000"/>
          <w:sz w:val="24"/>
          <w:szCs w:val="24"/>
        </w:rPr>
        <w:t>满后</w:t>
      </w:r>
      <w:r>
        <w:rPr>
          <w:rFonts w:hint="eastAsia" w:ascii="方正仿宋_GBK" w:hAnsi="Times New Roman" w:eastAsia="方正仿宋_GBK" w:cs="Times New Roman"/>
          <w:b/>
          <w:bCs/>
          <w:color w:val="000000"/>
          <w:sz w:val="24"/>
          <w:szCs w:val="24"/>
          <w:lang w:val="en-US" w:eastAsia="zh-CN"/>
        </w:rPr>
        <w:t>3</w:t>
      </w:r>
      <w:r>
        <w:rPr>
          <w:rFonts w:hint="eastAsia" w:ascii="方正仿宋_GBK" w:hAnsi="Times New Roman" w:eastAsia="方正仿宋_GBK" w:cs="Times New Roman"/>
          <w:b/>
          <w:bCs/>
          <w:color w:val="000000"/>
          <w:sz w:val="24"/>
          <w:szCs w:val="24"/>
        </w:rPr>
        <w:t>0日内无质量问题一次性无息付清。</w:t>
      </w:r>
    </w:p>
    <w:p>
      <w:pPr>
        <w:spacing w:line="400" w:lineRule="exact"/>
        <w:ind w:firstLine="482" w:firstLineChars="200"/>
        <w:rPr>
          <w:rFonts w:ascii="方正仿宋_GBK" w:hAnsi="宋体" w:eastAsia="方正仿宋_GBK"/>
          <w:sz w:val="24"/>
        </w:rPr>
      </w:pPr>
      <w:r>
        <w:rPr>
          <w:rFonts w:hint="eastAsia" w:ascii="方正仿宋_GBK" w:hAnsi="Times New Roman" w:eastAsia="方正仿宋_GBK" w:cs="Times New Roman"/>
          <w:b/>
          <w:bCs/>
          <w:color w:val="auto"/>
          <w:sz w:val="24"/>
          <w:szCs w:val="24"/>
          <w:lang w:val="en-US" w:eastAsia="zh-CN"/>
        </w:rPr>
        <w:t>3、在签订合同前，成交供应商应向采购人缴纳合同金额的5%作为履约保证金，履约保证金在所有产品供货、安装及调试完毕并验货合格后，采购人在</w:t>
      </w:r>
      <w:r>
        <w:rPr>
          <w:rFonts w:hint="eastAsia" w:ascii="方正仿宋_GBK" w:eastAsia="方正仿宋_GBK" w:cs="Times New Roman"/>
          <w:b/>
          <w:bCs/>
          <w:color w:val="auto"/>
          <w:sz w:val="24"/>
          <w:szCs w:val="24"/>
          <w:lang w:val="en-US" w:eastAsia="zh-CN"/>
        </w:rPr>
        <w:t>7</w:t>
      </w:r>
      <w:r>
        <w:rPr>
          <w:rFonts w:hint="eastAsia" w:ascii="方正仿宋_GBK" w:hAnsi="Times New Roman" w:eastAsia="方正仿宋_GBK" w:cs="Times New Roman"/>
          <w:b/>
          <w:bCs/>
          <w:color w:val="auto"/>
          <w:sz w:val="24"/>
          <w:szCs w:val="24"/>
          <w:lang w:val="en-US" w:eastAsia="zh-CN"/>
        </w:rPr>
        <w:t>日内一次性无息退还，如果供应商不满足合同条款违约，则不退还履约保证金。</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6"/>
      <w:bookmarkEnd w:id="7"/>
    </w:p>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pacing w:before="0" w:after="0" w:line="400" w:lineRule="exact"/>
        <w:rPr>
          <w:rFonts w:ascii="方正仿宋_GBK" w:hAnsi="宋体" w:eastAsia="方正仿宋_GBK"/>
          <w:sz w:val="24"/>
          <w:szCs w:val="24"/>
        </w:rPr>
      </w:pPr>
      <w:bookmarkStart w:id="8" w:name="_Toc511909620"/>
      <w:bookmarkStart w:id="9" w:name="_Toc344475125"/>
      <w:r>
        <w:rPr>
          <w:rFonts w:hint="eastAsia" w:ascii="方正仿宋_GBK" w:hAnsi="宋体" w:eastAsia="方正仿宋_GBK"/>
          <w:sz w:val="24"/>
          <w:szCs w:val="24"/>
        </w:rPr>
        <w:t>（六）其他</w:t>
      </w:r>
      <w:bookmarkEnd w:id="8"/>
    </w:p>
    <w:bookmarkEnd w:id="9"/>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sz w:val="24"/>
        </w:rPr>
      </w:pPr>
      <w:r>
        <w:rPr>
          <w:rFonts w:hint="eastAsia" w:ascii="方正仿宋_GBK" w:hAnsi="宋体" w:eastAsia="方正仿宋_GBK"/>
          <w:sz w:val="24"/>
        </w:rPr>
        <w:t>（二）其他未尽事宜由供需双方在采购合同中详细约定。</w:t>
      </w:r>
    </w:p>
    <w:p>
      <w:pPr>
        <w:snapToGrid w:val="0"/>
        <w:spacing w:line="400" w:lineRule="exact"/>
        <w:ind w:firstLine="540"/>
        <w:rPr>
          <w:rFonts w:hint="eastAsia" w:ascii="方正仿宋_GBK" w:hAnsi="宋体" w:eastAsia="方正仿宋_GBK"/>
          <w:sz w:val="24"/>
        </w:rPr>
      </w:pPr>
    </w:p>
    <w:p>
      <w:pPr>
        <w:spacing w:line="560" w:lineRule="exact"/>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第二篇</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lang w:eastAsia="zh-CN"/>
        </w:rPr>
        <w:t>响应文件格式要求</w:t>
      </w:r>
      <w:bookmarkStart w:id="10" w:name="_Toc12789072"/>
      <w:bookmarkStart w:id="11" w:name="_Toc511909622"/>
    </w:p>
    <w:bookmarkEnd w:id="10"/>
    <w:bookmarkEnd w:id="11"/>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一、经济部分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二、技术部分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技术响应偏离表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三、</w:t>
      </w:r>
      <w:r>
        <w:rPr>
          <w:rFonts w:hint="eastAsia" w:ascii="方正仿宋_GBK" w:hAnsi="方正仿宋_GBK" w:eastAsia="方正仿宋_GBK" w:cs="方正仿宋_GBK"/>
          <w:b/>
          <w:color w:val="auto"/>
          <w:sz w:val="24"/>
          <w:szCs w:val="24"/>
          <w:lang w:eastAsia="zh-CN"/>
        </w:rPr>
        <w:t>商务</w:t>
      </w:r>
      <w:r>
        <w:rPr>
          <w:rFonts w:hint="eastAsia" w:ascii="方正仿宋_GBK" w:hAnsi="方正仿宋_GBK" w:eastAsia="方正仿宋_GBK" w:cs="方正仿宋_GBK"/>
          <w:b/>
          <w:color w:val="auto"/>
          <w:sz w:val="24"/>
          <w:szCs w:val="24"/>
        </w:rPr>
        <w:t>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商务</w:t>
      </w:r>
      <w:r>
        <w:rPr>
          <w:rFonts w:hint="eastAsia" w:ascii="方正仿宋_GBK" w:hAnsi="方正仿宋_GBK" w:eastAsia="方正仿宋_GBK" w:cs="方正仿宋_GBK"/>
          <w:color w:val="auto"/>
          <w:sz w:val="24"/>
          <w:szCs w:val="24"/>
        </w:rPr>
        <w:t>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四、资格条件及其他</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（三）法定代表人身份证明书（格式）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（四）法定代表人授权委托书（格式）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u w:val="single"/>
          <w:lang w:val="en-US" w:eastAsia="zh-CN"/>
        </w:rPr>
        <w:t xml:space="preserve"> 2021</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（七）税务登记证（副本）复印件和社会保险缴纳证明材料</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spacing w:line="440" w:lineRule="exact"/>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五、其他与项目有关的资料（自附）</w:t>
      </w:r>
    </w:p>
    <w:p>
      <w:pPr>
        <w:snapToGrid w:val="0"/>
        <w:spacing w:line="360" w:lineRule="auto"/>
        <w:rPr>
          <w:rFonts w:hint="eastAsia" w:ascii="方正仿宋_GBK" w:hAnsi="方正仿宋_GBK" w:eastAsia="方正仿宋_GBK" w:cs="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hint="eastAsia" w:ascii="方正仿宋_GBK" w:hAnsi="方正仿宋_GBK" w:eastAsia="方正仿宋_GBK" w:cs="方正仿宋_GBK"/>
          <w:color w:val="auto"/>
          <w:sz w:val="24"/>
          <w:szCs w:val="24"/>
        </w:rPr>
      </w:pPr>
      <w:bookmarkStart w:id="12" w:name="_Toc342913419"/>
      <w:bookmarkStart w:id="13" w:name="_Toc313008356"/>
      <w:bookmarkStart w:id="14" w:name="_Toc313888360"/>
      <w:bookmarkStart w:id="15" w:name="_Toc511909623"/>
      <w:bookmarkStart w:id="16" w:name="_Toc12789073"/>
      <w:bookmarkStart w:id="17" w:name="_Toc283382454"/>
      <w:r>
        <w:rPr>
          <w:rFonts w:hint="eastAsia" w:ascii="方正仿宋_GBK" w:hAnsi="方正仿宋_GBK" w:eastAsia="方正仿宋_GBK" w:cs="方正仿宋_GBK"/>
          <w:color w:val="auto"/>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tabs>
          <w:tab w:val="left" w:pos="6300"/>
        </w:tabs>
        <w:snapToGrid w:val="0"/>
        <w:spacing w:line="480" w:lineRule="exact"/>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询价报价函</w:t>
      </w:r>
    </w:p>
    <w:p>
      <w:pPr>
        <w:tabs>
          <w:tab w:val="left" w:pos="6300"/>
        </w:tabs>
        <w:snapToGrid w:val="0"/>
        <w:spacing w:line="312" w:lineRule="auto"/>
        <w:rPr>
          <w:rFonts w:hint="eastAsia" w:ascii="方正仿宋_GBK" w:hAnsi="方正仿宋_GBK" w:eastAsia="方正仿宋_GBK" w:cs="方正仿宋_GBK"/>
          <w:color w:val="auto"/>
          <w:sz w:val="24"/>
          <w:szCs w:val="24"/>
          <w:u w:val="single"/>
        </w:rPr>
      </w:pPr>
    </w:p>
    <w:p>
      <w:pPr>
        <w:tabs>
          <w:tab w:val="left" w:pos="6300"/>
        </w:tabs>
        <w:snapToGrid w:val="0"/>
        <w:spacing w:line="312"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1.愿意按照采购文件中的一切要求，提供本项目的交货及技术服务，最终报价为人民币大写：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元整；人民币小写：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2.我方现提交的响应文件为：</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u w:val="single"/>
        </w:rPr>
        <w:t>壹</w:t>
      </w:r>
      <w:r>
        <w:rPr>
          <w:rFonts w:hint="eastAsia" w:ascii="方正仿宋_GBK" w:hAnsi="方正仿宋_GBK" w:eastAsia="方正仿宋_GBK" w:cs="方正仿宋_GBK"/>
          <w:color w:val="auto"/>
          <w:sz w:val="24"/>
          <w:szCs w:val="24"/>
        </w:rPr>
        <w:t>份。</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3.我方承诺：本次报价及相应承诺的有效期为90天。</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5.若我方若有违规行为，接受按照《中华人民共和国政府采购法》</w:t>
      </w:r>
      <w:r>
        <w:rPr>
          <w:rFonts w:hint="eastAsia" w:ascii="方正仿宋_GBK" w:hAnsi="方正仿宋_GBK" w:eastAsia="方正仿宋_GBK" w:cs="方正仿宋_GBK"/>
          <w:color w:val="auto"/>
          <w:sz w:val="24"/>
          <w:szCs w:val="24"/>
          <w:lang w:eastAsia="zh-CN"/>
        </w:rPr>
        <w:t>等</w:t>
      </w:r>
      <w:r>
        <w:rPr>
          <w:rFonts w:hint="eastAsia" w:ascii="方正仿宋_GBK" w:hAnsi="方正仿宋_GBK" w:eastAsia="方正仿宋_GBK" w:cs="方正仿宋_GBK"/>
          <w:color w:val="auto"/>
          <w:sz w:val="24"/>
          <w:szCs w:val="24"/>
        </w:rPr>
        <w:t>相关规定的惩罚。</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7.我方未为采购项目提供整体设计、规范编制或者项目管理、监理、检测等服务。</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地址：  </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传真：</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网址：                           邮编：</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pPr>
        <w:snapToGrid w:val="0"/>
        <w:spacing w:line="312" w:lineRule="auto"/>
        <w:ind w:firstLine="480" w:firstLineChars="200"/>
        <w:rPr>
          <w:rFonts w:hint="eastAsia" w:ascii="方正仿宋_GBK" w:hAnsi="方正仿宋_GBK" w:eastAsia="方正仿宋_GBK" w:cs="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rPr>
        <w:t xml:space="preserve">                               年   月   日</w:t>
      </w:r>
    </w:p>
    <w:p>
      <w:pPr>
        <w:tabs>
          <w:tab w:val="left" w:pos="2895"/>
        </w:tabs>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明细报价表</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项目编号：无</w:t>
      </w:r>
    </w:p>
    <w:p>
      <w:pPr>
        <w:spacing w:line="360" w:lineRule="auto"/>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产品名称</w:t>
            </w:r>
          </w:p>
        </w:tc>
        <w:tc>
          <w:tcPr>
            <w:tcW w:w="1721"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品牌及产地</w:t>
            </w:r>
          </w:p>
        </w:tc>
        <w:tc>
          <w:tcPr>
            <w:tcW w:w="141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制造商名称</w:t>
            </w:r>
          </w:p>
        </w:tc>
        <w:tc>
          <w:tcPr>
            <w:tcW w:w="1250"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规格型号</w:t>
            </w:r>
          </w:p>
        </w:tc>
        <w:tc>
          <w:tcPr>
            <w:tcW w:w="86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1186" w:type="dxa"/>
            <w:vAlign w:val="center"/>
          </w:tcPr>
          <w:p>
            <w:pPr>
              <w:pStyle w:val="7"/>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单价</w:t>
            </w:r>
          </w:p>
          <w:p>
            <w:pPr>
              <w:pStyle w:val="7"/>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c>
          <w:tcPr>
            <w:tcW w:w="1233"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合计</w:t>
            </w:r>
          </w:p>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方正仿宋_GBK" w:eastAsia="方正仿宋_GBK" w:cs="方正仿宋_GBK"/>
                <w:color w:val="auto"/>
                <w:sz w:val="24"/>
                <w:szCs w:val="24"/>
              </w:rPr>
            </w:pPr>
          </w:p>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bl>
    <w:p>
      <w:pPr>
        <w:snapToGrid w:val="0"/>
        <w:spacing w:line="500" w:lineRule="exact"/>
        <w:rPr>
          <w:rFonts w:hint="eastAsia" w:ascii="方正仿宋_GBK" w:hAnsi="方正仿宋_GBK" w:eastAsia="方正仿宋_GBK" w:cs="方正仿宋_GBK"/>
          <w:color w:val="auto"/>
          <w:sz w:val="24"/>
          <w:szCs w:val="24"/>
        </w:rPr>
      </w:pPr>
    </w:p>
    <w:p>
      <w:pPr>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注：1.请供应商完整填写本表。</w:t>
      </w:r>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18" w:name="OLE_LINK2"/>
      <w:bookmarkStart w:id="19" w:name="OLE_LINK1"/>
      <w:r>
        <w:rPr>
          <w:rFonts w:hint="eastAsia" w:ascii="方正仿宋_GBK" w:hAnsi="方正仿宋_GBK" w:eastAsia="方正仿宋_GBK" w:cs="方正仿宋_GBK"/>
          <w:color w:val="auto"/>
          <w:sz w:val="24"/>
          <w:szCs w:val="24"/>
        </w:rPr>
        <w:t>，并逐页签字或盖章。</w:t>
      </w:r>
      <w:bookmarkEnd w:id="18"/>
      <w:bookmarkEnd w:id="19"/>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pStyle w:val="12"/>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供应商名称（公章）：</w:t>
      </w:r>
    </w:p>
    <w:p>
      <w:pPr>
        <w:spacing w:line="360" w:lineRule="auto"/>
        <w:ind w:right="480"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snapToGrid w:val="0"/>
        <w:spacing w:line="360" w:lineRule="auto"/>
        <w:ind w:firstLine="480" w:firstLineChars="200"/>
        <w:rPr>
          <w:rFonts w:hint="eastAsia" w:ascii="方正仿宋_GBK" w:hAnsi="方正仿宋_GBK" w:eastAsia="方正仿宋_GBK" w:cs="方正仿宋_GBK"/>
          <w:color w:val="auto"/>
          <w:sz w:val="24"/>
          <w:szCs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hint="eastAsia" w:ascii="方正仿宋_GBK" w:hAnsi="方正仿宋_GBK" w:eastAsia="方正仿宋_GBK" w:cs="方正仿宋_GBK"/>
          <w:color w:val="auto"/>
          <w:sz w:val="24"/>
          <w:szCs w:val="24"/>
        </w:rPr>
      </w:pPr>
      <w:bookmarkStart w:id="20" w:name="_Toc342913420"/>
      <w:bookmarkStart w:id="21" w:name="_Toc511909624"/>
      <w:bookmarkStart w:id="22" w:name="_Toc313888361"/>
      <w:bookmarkStart w:id="23" w:name="_Toc313008357"/>
      <w:r>
        <w:rPr>
          <w:rFonts w:hint="eastAsia" w:ascii="方正仿宋_GBK" w:hAnsi="方正仿宋_GBK" w:eastAsia="方正仿宋_GBK" w:cs="方正仿宋_GBK"/>
          <w:color w:val="auto"/>
          <w:sz w:val="24"/>
          <w:szCs w:val="24"/>
        </w:rPr>
        <w:t>二、技术部分</w:t>
      </w:r>
      <w:bookmarkEnd w:id="20"/>
      <w:bookmarkEnd w:id="21"/>
      <w:bookmarkEnd w:id="22"/>
      <w:bookmarkEnd w:id="23"/>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技术响应偏离表</w:t>
      </w:r>
    </w:p>
    <w:p>
      <w:pPr>
        <w:pStyle w:val="7"/>
        <w:tabs>
          <w:tab w:val="left" w:pos="6300"/>
        </w:tabs>
        <w:snapToGrid w:val="0"/>
        <w:spacing w:line="500" w:lineRule="exact"/>
        <w:ind w:firstLine="480" w:firstLineChars="200"/>
        <w:outlineLvl w:val="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284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采购需求</w:t>
            </w:r>
          </w:p>
        </w:tc>
        <w:tc>
          <w:tcPr>
            <w:tcW w:w="295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2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720" w:firstLineChars="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1.本表即为对本项目“六、项目参数”中所列技术要求进行比较和响应；</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3.该表可扩展，并逐页签字或盖章；</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4.可附相关技术支撑材料（格式自定）。</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5.根据响应情况在“差异说明”项填写正偏离或负偏离及原因，完全符合的填写“无差异”。</w:t>
      </w:r>
    </w:p>
    <w:p>
      <w:pPr>
        <w:pStyle w:val="4"/>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color w:val="auto"/>
          <w:sz w:val="24"/>
          <w:szCs w:val="24"/>
        </w:rPr>
        <w:br w:type="page"/>
      </w:r>
      <w:bookmarkStart w:id="24" w:name="_Toc511909625"/>
      <w:bookmarkStart w:id="25" w:name="_Toc313888362"/>
      <w:bookmarkStart w:id="26" w:name="_Toc342913421"/>
      <w:bookmarkStart w:id="27" w:name="_Toc313008358"/>
      <w:r>
        <w:rPr>
          <w:rFonts w:hint="eastAsia" w:ascii="方正仿宋_GBK" w:hAnsi="方正仿宋_GBK" w:eastAsia="方正仿宋_GBK" w:cs="方正仿宋_GBK"/>
          <w:color w:val="auto"/>
          <w:sz w:val="24"/>
          <w:szCs w:val="24"/>
        </w:rPr>
        <w:t>三、商务部分</w:t>
      </w:r>
      <w:bookmarkEnd w:id="24"/>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商务响应偏离表</w:t>
      </w:r>
    </w:p>
    <w:p>
      <w:pPr>
        <w:snapToGrid w:val="0"/>
        <w:ind w:firstLine="465"/>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318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项目需求</w:t>
            </w:r>
          </w:p>
        </w:tc>
        <w:tc>
          <w:tcPr>
            <w:tcW w:w="243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359"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1.本表即为对本项目“七、商务要求”中所列服务要求进行比较和响应，该表可扩展；</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 根据响应情况在“差异说明”项填写正偏离或负偏离及原因，完全符合的填写“无差异”。</w:t>
      </w:r>
    </w:p>
    <w:p>
      <w:pPr>
        <w:pStyle w:val="4"/>
        <w:spacing w:before="0" w:after="0" w:line="360" w:lineRule="auto"/>
        <w:rPr>
          <w:rFonts w:hint="eastAsia" w:ascii="方正仿宋_GBK" w:hAnsi="方正仿宋_GBK" w:eastAsia="方正仿宋_GBK" w:cs="方正仿宋_GBK"/>
          <w:color w:val="auto"/>
          <w:sz w:val="24"/>
          <w:szCs w:val="24"/>
        </w:rPr>
      </w:pPr>
      <w:bookmarkStart w:id="28" w:name="_Toc511909626"/>
      <w:r>
        <w:rPr>
          <w:rFonts w:hint="eastAsia" w:ascii="方正仿宋_GBK" w:hAnsi="方正仿宋_GBK" w:eastAsia="方正仿宋_GBK" w:cs="方正仿宋_GBK"/>
          <w:color w:val="auto"/>
          <w:sz w:val="24"/>
          <w:szCs w:val="24"/>
        </w:rPr>
        <w:t>四、</w:t>
      </w:r>
      <w:bookmarkEnd w:id="25"/>
      <w:bookmarkEnd w:id="26"/>
      <w:bookmarkEnd w:id="27"/>
      <w:r>
        <w:rPr>
          <w:rFonts w:hint="eastAsia" w:ascii="方正仿宋_GBK" w:hAnsi="方正仿宋_GBK" w:eastAsia="方正仿宋_GBK" w:cs="方正仿宋_GBK"/>
          <w:color w:val="auto"/>
          <w:sz w:val="24"/>
          <w:szCs w:val="24"/>
        </w:rPr>
        <w:t>资格条件及其他</w:t>
      </w:r>
      <w:bookmarkEnd w:id="28"/>
      <w:bookmarkStart w:id="29" w:name="_Toc342913422"/>
      <w:bookmarkStart w:id="30" w:name="_Toc313888363"/>
      <w:bookmarkStart w:id="31" w:name="_Toc313008359"/>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widowControl/>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auto"/>
          <w:sz w:val="24"/>
          <w:szCs w:val="24"/>
        </w:rPr>
        <w:t>（三）法定代表人身份证明书（格式）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（法定代表人姓名）在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（职务名称）职务，是（供应商名称）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的法定代表人。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（四）法定代表人授权委托书（格式）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（供应商法定代表人名称）是</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（供应商名称）的法定代表人，特授权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bookmarkStart w:id="32" w:name="_Toc511909627"/>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u w:val="single"/>
          <w:lang w:val="en-US" w:eastAsia="zh-CN"/>
        </w:rPr>
        <w:t xml:space="preserve">   2021</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2760" w:firstLineChars="1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pStyle w:val="27"/>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资格条件。我方对以上声明负全部法律责任。</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特此声明。</w:t>
      </w:r>
    </w:p>
    <w:p>
      <w:pPr>
        <w:tabs>
          <w:tab w:val="left" w:pos="6300"/>
        </w:tabs>
        <w:snapToGrid w:val="0"/>
        <w:spacing w:line="500" w:lineRule="exact"/>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60" w:lineRule="auto"/>
        <w:ind w:right="360" w:firstLine="480" w:firstLineChars="200"/>
        <w:jc w:val="right"/>
        <w:rPr>
          <w:rFonts w:hint="eastAsia" w:ascii="方正仿宋_GBK" w:hAnsi="方正仿宋_GBK" w:eastAsia="方正仿宋_GBK" w:cs="方正仿宋_GBK"/>
          <w:color w:val="auto"/>
          <w:sz w:val="24"/>
          <w:szCs w:val="24"/>
        </w:rPr>
      </w:pPr>
    </w:p>
    <w:p>
      <w:pPr>
        <w:tabs>
          <w:tab w:val="left" w:pos="6300"/>
        </w:tabs>
        <w:snapToGrid w:val="0"/>
        <w:spacing w:line="360" w:lineRule="auto"/>
        <w:ind w:right="1320" w:firstLine="480" w:firstLineChars="20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numPr>
          <w:ilvl w:val="0"/>
          <w:numId w:val="5"/>
        </w:num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社会保险缴纳证明材料</w:t>
      </w:r>
    </w:p>
    <w:p>
      <w:pPr>
        <w:numPr>
          <w:ilvl w:val="0"/>
          <w:numId w:val="0"/>
        </w:num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pStyle w:val="4"/>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bookmarkEnd w:id="29"/>
      <w:bookmarkEnd w:id="30"/>
      <w:bookmarkEnd w:id="31"/>
      <w:r>
        <w:rPr>
          <w:rFonts w:hint="eastAsia" w:ascii="方正仿宋_GBK" w:hAnsi="方正仿宋_GBK" w:eastAsia="方正仿宋_GBK" w:cs="方正仿宋_GBK"/>
          <w:color w:val="auto"/>
          <w:sz w:val="24"/>
          <w:szCs w:val="24"/>
        </w:rPr>
        <w:t>其他</w:t>
      </w:r>
      <w:bookmarkEnd w:id="32"/>
      <w:r>
        <w:rPr>
          <w:rFonts w:hint="eastAsia" w:ascii="方正仿宋_GBK" w:hAnsi="方正仿宋_GBK" w:eastAsia="方正仿宋_GBK" w:cs="方正仿宋_GBK"/>
          <w:color w:val="auto"/>
          <w:sz w:val="24"/>
          <w:szCs w:val="24"/>
        </w:rPr>
        <w:t>与项目有关的资料（自附）</w:t>
      </w:r>
    </w:p>
    <w:p>
      <w:pPr>
        <w:rPr>
          <w:rFonts w:hint="eastAsia" w:ascii="方正仿宋_GBK" w:hAnsi="方正仿宋_GBK" w:eastAsia="方正仿宋_GBK" w:cs="方正仿宋_GBK"/>
          <w:color w:val="auto"/>
          <w:sz w:val="24"/>
          <w:szCs w:val="24"/>
        </w:rPr>
      </w:pPr>
    </w:p>
    <w:p/>
    <w:sectPr>
      <w:headerReference r:id="rId4" w:type="default"/>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384D4"/>
    <w:multiLevelType w:val="singleLevel"/>
    <w:tmpl w:val="C9A384D4"/>
    <w:lvl w:ilvl="0" w:tentative="0">
      <w:start w:val="1"/>
      <w:numFmt w:val="decimal"/>
      <w:lvlText w:val="%1."/>
      <w:lvlJc w:val="left"/>
      <w:pPr>
        <w:ind w:left="425" w:hanging="425"/>
      </w:pPr>
      <w:rPr>
        <w:rFonts w:hint="default"/>
      </w:rPr>
    </w:lvl>
  </w:abstractNum>
  <w:abstractNum w:abstractNumId="1">
    <w:nsid w:val="25E16D80"/>
    <w:multiLevelType w:val="multilevel"/>
    <w:tmpl w:val="25E16D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EF4E75"/>
    <w:multiLevelType w:val="singleLevel"/>
    <w:tmpl w:val="27EF4E75"/>
    <w:lvl w:ilvl="0" w:tentative="0">
      <w:start w:val="1"/>
      <w:numFmt w:val="decimal"/>
      <w:lvlText w:val="%1."/>
      <w:lvlJc w:val="left"/>
      <w:pPr>
        <w:ind w:left="425" w:hanging="425"/>
      </w:pPr>
      <w:rPr>
        <w:rFonts w:hint="default"/>
      </w:rPr>
    </w:lvl>
  </w:abstractNum>
  <w:abstractNum w:abstractNumId="3">
    <w:nsid w:val="4C63FDF5"/>
    <w:multiLevelType w:val="singleLevel"/>
    <w:tmpl w:val="4C63FDF5"/>
    <w:lvl w:ilvl="0" w:tentative="0">
      <w:start w:val="1"/>
      <w:numFmt w:val="decimal"/>
      <w:lvlText w:val="%1."/>
      <w:lvlJc w:val="left"/>
      <w:pPr>
        <w:tabs>
          <w:tab w:val="left" w:pos="454"/>
        </w:tabs>
        <w:ind w:left="454" w:leftChars="0" w:firstLine="0" w:firstLineChars="0"/>
      </w:pPr>
      <w:rPr>
        <w:rFonts w:hint="default"/>
      </w:rPr>
    </w:lvl>
  </w:abstractNum>
  <w:abstractNum w:abstractNumId="4">
    <w:nsid w:val="5DD64193"/>
    <w:multiLevelType w:val="singleLevel"/>
    <w:tmpl w:val="5DD64193"/>
    <w:lvl w:ilvl="0" w:tentative="0">
      <w:start w:val="7"/>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zA0OTRhM2VhMDQ4ODI1MTRmYjEzODRmOTA0ZWUifQ=="/>
  </w:docVars>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E6F9F"/>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2053CCD"/>
    <w:rsid w:val="05A43AC0"/>
    <w:rsid w:val="0D541E51"/>
    <w:rsid w:val="0E1224D1"/>
    <w:rsid w:val="0EB53F15"/>
    <w:rsid w:val="1C330A86"/>
    <w:rsid w:val="20375FA9"/>
    <w:rsid w:val="22436EE9"/>
    <w:rsid w:val="22D34CC6"/>
    <w:rsid w:val="237C4BDA"/>
    <w:rsid w:val="35931F7C"/>
    <w:rsid w:val="3E7F3E91"/>
    <w:rsid w:val="3F473BEF"/>
    <w:rsid w:val="3F9050CE"/>
    <w:rsid w:val="407848F7"/>
    <w:rsid w:val="41950E9A"/>
    <w:rsid w:val="42E82261"/>
    <w:rsid w:val="43B600AD"/>
    <w:rsid w:val="444944DC"/>
    <w:rsid w:val="4E761087"/>
    <w:rsid w:val="546B5603"/>
    <w:rsid w:val="5829059B"/>
    <w:rsid w:val="588E0972"/>
    <w:rsid w:val="58C71EE5"/>
    <w:rsid w:val="59B91A1F"/>
    <w:rsid w:val="5EE1448C"/>
    <w:rsid w:val="5F5D4D52"/>
    <w:rsid w:val="60746B6D"/>
    <w:rsid w:val="68CE2442"/>
    <w:rsid w:val="6DFA5BCE"/>
    <w:rsid w:val="719C607D"/>
    <w:rsid w:val="71A845D0"/>
    <w:rsid w:val="737F76A3"/>
    <w:rsid w:val="76C34B29"/>
    <w:rsid w:val="78732B6A"/>
    <w:rsid w:val="7B1144EA"/>
    <w:rsid w:val="7CA43879"/>
    <w:rsid w:val="7CDA525D"/>
    <w:rsid w:val="7F7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0"/>
    <w:pPr>
      <w:keepNext/>
      <w:keepLines/>
      <w:spacing w:before="260" w:after="260" w:line="413" w:lineRule="auto"/>
      <w:outlineLvl w:val="2"/>
    </w:pPr>
    <w:rPr>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5">
    <w:name w:val="Normal Indent"/>
    <w:basedOn w:val="1"/>
    <w:qFormat/>
    <w:uiPriority w:val="0"/>
    <w:pPr>
      <w:ind w:firstLine="420" w:firstLineChars="200"/>
    </w:pPr>
  </w:style>
  <w:style w:type="paragraph" w:styleId="6">
    <w:name w:val="Plain Text"/>
    <w:basedOn w:val="1"/>
    <w:qFormat/>
    <w:uiPriority w:val="0"/>
    <w:rPr>
      <w:rFonts w:ascii="宋体" w:hAnsi="Courier New"/>
      <w:sz w:val="21"/>
    </w:rPr>
  </w:style>
  <w:style w:type="paragraph" w:styleId="7">
    <w:name w:val="Date"/>
    <w:basedOn w:val="1"/>
    <w:next w:val="1"/>
    <w:link w:val="22"/>
    <w:qFormat/>
    <w:uiPriority w:val="0"/>
    <w:rPr>
      <w:rFonts w:asciiTheme="minorHAnsi" w:hAnsiTheme="minorHAnsi" w:eastAsiaTheme="minorEastAsia" w:cstheme="minorBidi"/>
      <w:sz w:val="28"/>
      <w:szCs w:val="22"/>
    </w:rPr>
  </w:style>
  <w:style w:type="paragraph" w:styleId="8">
    <w:name w:val="Body Text Indent 2"/>
    <w:basedOn w:val="1"/>
    <w:uiPriority w:val="0"/>
    <w:pPr>
      <w:snapToGrid w:val="0"/>
      <w:spacing w:line="560" w:lineRule="atLeast"/>
      <w:ind w:firstLine="540"/>
    </w:pPr>
  </w:style>
  <w:style w:type="paragraph" w:styleId="9">
    <w:name w:val="Balloon Text"/>
    <w:basedOn w:val="1"/>
    <w:link w:val="23"/>
    <w:semiHidden/>
    <w:unhideWhenUsed/>
    <w:qFormat/>
    <w:uiPriority w:val="99"/>
    <w:rPr>
      <w:sz w:val="18"/>
      <w:szCs w:val="1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180" w:lineRule="auto"/>
      <w:jc w:val="center"/>
    </w:pPr>
    <w:rPr>
      <w:sz w:val="30"/>
      <w:szCs w:val="20"/>
    </w:rPr>
  </w:style>
  <w:style w:type="table" w:styleId="14">
    <w:name w:val="Table Grid"/>
    <w:basedOn w:val="13"/>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0"/>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3 Char"/>
    <w:basedOn w:val="15"/>
    <w:link w:val="4"/>
    <w:qFormat/>
    <w:uiPriority w:val="0"/>
    <w:rPr>
      <w:rFonts w:ascii="Times New Roman" w:hAnsi="Times New Roman" w:eastAsia="宋体" w:cs="Times New Roman"/>
      <w:b/>
      <w:sz w:val="32"/>
      <w:szCs w:val="20"/>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日期 Char"/>
    <w:link w:val="7"/>
    <w:qFormat/>
    <w:uiPriority w:val="0"/>
    <w:rPr>
      <w:sz w:val="28"/>
    </w:rPr>
  </w:style>
  <w:style w:type="character" w:customStyle="1" w:styleId="22">
    <w:name w:val="日期 Char1"/>
    <w:basedOn w:val="15"/>
    <w:link w:val="7"/>
    <w:semiHidden/>
    <w:qFormat/>
    <w:uiPriority w:val="99"/>
    <w:rPr>
      <w:rFonts w:ascii="Times New Roman" w:hAnsi="Times New Roman" w:eastAsia="宋体" w:cs="Times New Roman"/>
      <w:szCs w:val="24"/>
    </w:rPr>
  </w:style>
  <w:style w:type="character" w:customStyle="1" w:styleId="23">
    <w:name w:val="批注框文本 Char"/>
    <w:basedOn w:val="15"/>
    <w:link w:val="9"/>
    <w:semiHidden/>
    <w:qFormat/>
    <w:uiPriority w:val="99"/>
    <w:rPr>
      <w:rFonts w:ascii="Times New Roman" w:hAnsi="Times New Roman" w:eastAsia="宋体" w:cs="Times New Roman"/>
      <w:sz w:val="18"/>
      <w:szCs w:val="18"/>
    </w:rPr>
  </w:style>
  <w:style w:type="paragraph" w:customStyle="1" w:styleId="24">
    <w:name w:val="p0"/>
    <w:basedOn w:val="1"/>
    <w:qFormat/>
    <w:uiPriority w:val="0"/>
    <w:pPr>
      <w:spacing w:before="0" w:beforeLines="0" w:beforeAutospacing="0" w:after="0" w:afterLines="0" w:afterAutospacing="0"/>
      <w:ind w:left="0" w:right="0"/>
      <w:jc w:val="both"/>
    </w:pPr>
    <w:rPr>
      <w:rFonts w:hint="default" w:ascii="Times New Roman" w:hAnsi="Times New Roman" w:cs="Times New Roman"/>
      <w:color w:val="auto"/>
      <w:kern w:val="0"/>
      <w:sz w:val="21"/>
      <w:szCs w:val="21"/>
      <w:lang w:val="en-US" w:eastAsia="zh-CN" w:bidi="ar-SA"/>
    </w:rPr>
  </w:style>
  <w:style w:type="paragraph" w:styleId="25">
    <w:name w:val="List Paragraph"/>
    <w:basedOn w:val="1"/>
    <w:qFormat/>
    <w:uiPriority w:val="34"/>
    <w:pPr>
      <w:ind w:firstLine="420" w:firstLineChars="200"/>
    </w:pPr>
  </w:style>
  <w:style w:type="paragraph" w:customStyle="1" w:styleId="26">
    <w:name w:val="样式1"/>
    <w:basedOn w:val="1"/>
    <w:next w:val="2"/>
    <w:qFormat/>
    <w:uiPriority w:val="0"/>
    <w:pPr>
      <w:spacing w:line="560" w:lineRule="exact"/>
      <w:jc w:val="center"/>
    </w:pPr>
    <w:rPr>
      <w:rFonts w:hint="eastAsia" w:ascii="宋体" w:hAnsi="宋体" w:cs="宋体"/>
      <w:b/>
      <w:bCs/>
      <w:color w:val="000000"/>
      <w:sz w:val="44"/>
      <w:szCs w:val="44"/>
    </w:rPr>
  </w:style>
  <w:style w:type="paragraph" w:customStyle="1" w:styleId="27">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6372</Words>
  <Characters>6739</Characters>
  <Lines>44</Lines>
  <Paragraphs>12</Paragraphs>
  <TotalTime>22</TotalTime>
  <ScaleCrop>false</ScaleCrop>
  <LinksUpToDate>false</LinksUpToDate>
  <CharactersWithSpaces>7788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米猪</cp:lastModifiedBy>
  <dcterms:modified xsi:type="dcterms:W3CDTF">2022-05-11T11:04:52Z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2052-11.1.0.11636</vt:lpwstr>
  </property>
  <property fmtid="{D5CDD505-2E9C-101B-9397-08002B2CF9AE}" pid="4" name="ICV">
    <vt:lpwstr>79773792577148DB95DEE71784230472</vt:lpwstr>
  </property>
</Properties>
</file>