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eastAsia="宋体" w:cs="宋体"/>
          <w:color w:val="000000" w:themeColor="text1"/>
          <w:sz w:val="32"/>
          <w:szCs w:val="32"/>
          <w14:textFill>
            <w14:solidFill>
              <w14:schemeClr w14:val="tx1"/>
            </w14:solidFill>
          </w14:textFill>
        </w:rPr>
      </w:pPr>
    </w:p>
    <w:p>
      <w:pPr>
        <w:jc w:val="center"/>
        <w:outlineLvl w:val="0"/>
        <w:rPr>
          <w:rFonts w:hint="eastAsia" w:ascii="宋体" w:hAnsi="宋体" w:eastAsia="宋体" w:cs="宋体"/>
          <w:b/>
          <w:bCs/>
          <w:color w:val="000000" w:themeColor="text1"/>
          <w:spacing w:val="80"/>
          <w:sz w:val="96"/>
          <w:szCs w:val="96"/>
          <w:lang w:eastAsia="zh-CN"/>
          <w14:textFill>
            <w14:solidFill>
              <w14:schemeClr w14:val="tx1"/>
            </w14:solidFill>
          </w14:textFill>
        </w:rPr>
      </w:pPr>
      <w:bookmarkStart w:id="0" w:name="_Toc14822"/>
    </w:p>
    <w:bookmarkEnd w:id="0"/>
    <w:p>
      <w:pPr>
        <w:rPr>
          <w:rFonts w:hint="eastAsia" w:ascii="宋体" w:hAnsi="宋体" w:eastAsia="宋体" w:cs="宋体"/>
          <w:b/>
          <w:bCs/>
          <w:color w:val="000000" w:themeColor="text1"/>
          <w:sz w:val="96"/>
          <w:szCs w:val="96"/>
          <w14:textFill>
            <w14:solidFill>
              <w14:schemeClr w14:val="tx1"/>
            </w14:solidFill>
          </w14:textFill>
        </w:rPr>
      </w:pPr>
    </w:p>
    <w:p>
      <w:pPr>
        <w:jc w:val="center"/>
        <w:outlineLvl w:val="0"/>
        <w:rPr>
          <w:rFonts w:hint="eastAsia" w:ascii="宋体" w:hAnsi="宋体" w:eastAsia="宋体" w:cs="宋体"/>
          <w:b/>
          <w:bCs/>
          <w:color w:val="000000" w:themeColor="text1"/>
          <w:spacing w:val="80"/>
          <w:sz w:val="96"/>
          <w:szCs w:val="96"/>
          <w14:textFill>
            <w14:solidFill>
              <w14:schemeClr w14:val="tx1"/>
            </w14:solidFill>
          </w14:textFill>
        </w:rPr>
      </w:pPr>
      <w:bookmarkStart w:id="1" w:name="_Toc25018"/>
      <w:bookmarkStart w:id="2" w:name="_Toc23696"/>
      <w:bookmarkStart w:id="3" w:name="_Toc2673"/>
      <w:bookmarkStart w:id="4" w:name="_Toc4303"/>
      <w:bookmarkStart w:id="5" w:name="_Toc24237"/>
      <w:bookmarkStart w:id="6" w:name="_Toc11481"/>
      <w:bookmarkStart w:id="7" w:name="_Toc30146"/>
      <w:bookmarkStart w:id="8" w:name="_Toc5947"/>
      <w:bookmarkStart w:id="9" w:name="_Toc32507"/>
      <w:r>
        <w:rPr>
          <w:rFonts w:hint="eastAsia" w:ascii="宋体" w:hAnsi="宋体" w:eastAsia="宋体" w:cs="宋体"/>
          <w:b/>
          <w:bCs/>
          <w:color w:val="000000" w:themeColor="text1"/>
          <w:spacing w:val="80"/>
          <w:sz w:val="96"/>
          <w:szCs w:val="96"/>
          <w14:textFill>
            <w14:solidFill>
              <w14:schemeClr w14:val="tx1"/>
            </w14:solidFill>
          </w14:textFill>
        </w:rPr>
        <w:t>竞争性谈判</w:t>
      </w:r>
      <w:bookmarkEnd w:id="1"/>
      <w:bookmarkEnd w:id="2"/>
    </w:p>
    <w:p>
      <w:pPr>
        <w:jc w:val="center"/>
        <w:outlineLvl w:val="0"/>
        <w:rPr>
          <w:rFonts w:hint="eastAsia" w:ascii="宋体" w:hAnsi="宋体" w:eastAsia="宋体" w:cs="宋体"/>
          <w:b/>
          <w:bCs/>
          <w:color w:val="000000" w:themeColor="text1"/>
          <w:spacing w:val="80"/>
          <w:sz w:val="96"/>
          <w:szCs w:val="96"/>
          <w14:textFill>
            <w14:solidFill>
              <w14:schemeClr w14:val="tx1"/>
            </w14:solidFill>
          </w14:textFill>
        </w:rPr>
      </w:pPr>
      <w:bookmarkStart w:id="10" w:name="_Toc24939"/>
      <w:bookmarkStart w:id="11" w:name="_Toc21803"/>
      <w:r>
        <w:rPr>
          <w:rFonts w:hint="eastAsia" w:ascii="宋体" w:hAnsi="宋体" w:eastAsia="宋体" w:cs="宋体"/>
          <w:b/>
          <w:bCs/>
          <w:color w:val="000000" w:themeColor="text1"/>
          <w:spacing w:val="80"/>
          <w:sz w:val="96"/>
          <w:szCs w:val="96"/>
          <w14:textFill>
            <w14:solidFill>
              <w14:schemeClr w14:val="tx1"/>
            </w14:solidFill>
          </w14:textFill>
        </w:rPr>
        <w:t>文件</w:t>
      </w:r>
      <w:bookmarkEnd w:id="3"/>
      <w:bookmarkEnd w:id="4"/>
      <w:bookmarkEnd w:id="5"/>
      <w:bookmarkEnd w:id="6"/>
      <w:bookmarkEnd w:id="7"/>
      <w:bookmarkEnd w:id="8"/>
      <w:bookmarkEnd w:id="9"/>
      <w:bookmarkEnd w:id="10"/>
      <w:bookmarkEnd w:id="11"/>
    </w:p>
    <w:p>
      <w:pPr>
        <w:spacing w:line="700" w:lineRule="exact"/>
        <w:jc w:val="center"/>
        <w:rPr>
          <w:rFonts w:hint="eastAsia" w:ascii="宋体" w:hAnsi="宋体" w:eastAsia="宋体" w:cs="宋体"/>
          <w:color w:val="000000" w:themeColor="text1"/>
          <w:sz w:val="32"/>
          <w14:textFill>
            <w14:solidFill>
              <w14:schemeClr w14:val="tx1"/>
            </w14:solidFill>
          </w14:textFill>
        </w:rPr>
      </w:pPr>
    </w:p>
    <w:p>
      <w:pPr>
        <w:spacing w:line="700" w:lineRule="exact"/>
        <w:jc w:val="center"/>
        <w:rPr>
          <w:rFonts w:hint="eastAsia" w:ascii="宋体" w:hAnsi="宋体" w:eastAsia="宋体" w:cs="宋体"/>
          <w:color w:val="000000" w:themeColor="text1"/>
          <w:sz w:val="32"/>
          <w14:textFill>
            <w14:solidFill>
              <w14:schemeClr w14:val="tx1"/>
            </w14:solidFill>
          </w14:textFill>
        </w:rPr>
      </w:pPr>
    </w:p>
    <w:p>
      <w:pPr>
        <w:spacing w:line="700" w:lineRule="exact"/>
        <w:rPr>
          <w:rFonts w:hint="eastAsia" w:ascii="宋体" w:hAnsi="宋体" w:eastAsia="宋体" w:cs="宋体"/>
          <w:color w:val="000000" w:themeColor="text1"/>
          <w:sz w:val="36"/>
          <w:szCs w:val="36"/>
          <w14:textFill>
            <w14:solidFill>
              <w14:schemeClr w14:val="tx1"/>
            </w14:solidFill>
          </w14:textFill>
        </w:rPr>
      </w:pPr>
    </w:p>
    <w:p>
      <w:pPr>
        <w:snapToGrid w:val="0"/>
        <w:spacing w:line="400" w:lineRule="exact"/>
        <w:ind w:firstLine="320" w:firstLineChars="100"/>
        <w:rPr>
          <w:rFonts w:hint="eastAsia" w:ascii="宋体" w:hAnsi="宋体" w:eastAsia="宋体" w:cs="宋体"/>
          <w:b w:val="0"/>
          <w:bCs w:val="0"/>
          <w:color w:val="000000" w:themeColor="text1"/>
          <w:sz w:val="32"/>
          <w:szCs w:val="32"/>
          <w:lang w:val="en-US" w:eastAsia="zh-CN"/>
          <w14:textFill>
            <w14:solidFill>
              <w14:schemeClr w14:val="tx1"/>
            </w14:solidFill>
          </w14:textFill>
        </w:rPr>
      </w:pPr>
      <w:r>
        <w:rPr>
          <w:rFonts w:hint="eastAsia" w:ascii="宋体" w:hAnsi="宋体" w:eastAsia="宋体" w:cs="宋体"/>
          <w:b w:val="0"/>
          <w:bCs w:val="0"/>
          <w:color w:val="000000" w:themeColor="text1"/>
          <w:sz w:val="32"/>
          <w:szCs w:val="32"/>
          <w:lang w:eastAsia="zh-CN"/>
          <w14:textFill>
            <w14:solidFill>
              <w14:schemeClr w14:val="tx1"/>
            </w14:solidFill>
          </w14:textFill>
        </w:rPr>
        <w:t>项</w:t>
      </w:r>
      <w:r>
        <w:rPr>
          <w:rFonts w:hint="eastAsia" w:ascii="宋体" w:hAnsi="宋体" w:eastAsia="宋体" w:cs="宋体"/>
          <w:b w:val="0"/>
          <w:bCs w:val="0"/>
          <w:color w:val="000000" w:themeColor="text1"/>
          <w:sz w:val="32"/>
          <w:szCs w:val="32"/>
          <w:lang w:val="en-US" w:eastAsia="zh-CN"/>
          <w14:textFill>
            <w14:solidFill>
              <w14:schemeClr w14:val="tx1"/>
            </w14:solidFill>
          </w14:textFill>
        </w:rPr>
        <w:t xml:space="preserve"> </w:t>
      </w:r>
      <w:r>
        <w:rPr>
          <w:rFonts w:hint="eastAsia" w:ascii="宋体" w:hAnsi="宋体" w:eastAsia="宋体" w:cs="宋体"/>
          <w:b w:val="0"/>
          <w:bCs w:val="0"/>
          <w:color w:val="000000" w:themeColor="text1"/>
          <w:sz w:val="32"/>
          <w:szCs w:val="32"/>
          <w:lang w:eastAsia="zh-CN"/>
          <w14:textFill>
            <w14:solidFill>
              <w14:schemeClr w14:val="tx1"/>
            </w14:solidFill>
          </w14:textFill>
        </w:rPr>
        <w:t>目</w:t>
      </w:r>
      <w:r>
        <w:rPr>
          <w:rFonts w:hint="eastAsia" w:ascii="宋体" w:hAnsi="宋体" w:eastAsia="宋体" w:cs="宋体"/>
          <w:b w:val="0"/>
          <w:bCs w:val="0"/>
          <w:color w:val="000000" w:themeColor="text1"/>
          <w:sz w:val="32"/>
          <w:szCs w:val="32"/>
          <w:lang w:val="en-US" w:eastAsia="zh-CN"/>
          <w14:textFill>
            <w14:solidFill>
              <w14:schemeClr w14:val="tx1"/>
            </w14:solidFill>
          </w14:textFill>
        </w:rPr>
        <w:t xml:space="preserve"> 编 </w:t>
      </w:r>
      <w:r>
        <w:rPr>
          <w:rFonts w:hint="eastAsia" w:ascii="宋体" w:hAnsi="宋体" w:eastAsia="宋体" w:cs="宋体"/>
          <w:b w:val="0"/>
          <w:bCs w:val="0"/>
          <w:color w:val="000000" w:themeColor="text1"/>
          <w:sz w:val="32"/>
          <w:szCs w:val="32"/>
          <w14:textFill>
            <w14:solidFill>
              <w14:schemeClr w14:val="tx1"/>
            </w14:solidFill>
          </w14:textFill>
        </w:rPr>
        <w:t>号：</w:t>
      </w:r>
      <w:r>
        <w:rPr>
          <w:rFonts w:hint="eastAsia" w:ascii="宋体" w:hAnsi="宋体" w:eastAsia="宋体" w:cs="宋体"/>
          <w:b w:val="0"/>
          <w:bCs w:val="0"/>
          <w:color w:val="000000" w:themeColor="text1"/>
          <w:sz w:val="32"/>
          <w:szCs w:val="32"/>
          <w:lang w:val="en-US" w:eastAsia="zh-CN"/>
          <w14:textFill>
            <w14:solidFill>
              <w14:schemeClr w14:val="tx1"/>
            </w14:solidFill>
          </w14:textFill>
        </w:rPr>
        <w:t xml:space="preserve"> YJ-21A00013</w:t>
      </w:r>
    </w:p>
    <w:p>
      <w:pPr>
        <w:snapToGrid w:val="0"/>
        <w:spacing w:line="400" w:lineRule="exact"/>
        <w:ind w:firstLine="320" w:firstLineChars="100"/>
        <w:rPr>
          <w:rFonts w:hint="eastAsia" w:ascii="宋体" w:hAnsi="宋体" w:eastAsia="宋体" w:cs="宋体"/>
          <w:b w:val="0"/>
          <w:bCs w:val="0"/>
          <w:color w:val="000000" w:themeColor="text1"/>
          <w:sz w:val="32"/>
          <w:szCs w:val="32"/>
          <w14:textFill>
            <w14:solidFill>
              <w14:schemeClr w14:val="tx1"/>
            </w14:solidFill>
          </w14:textFill>
        </w:rPr>
      </w:pPr>
      <w:r>
        <w:rPr>
          <w:rFonts w:hint="eastAsia" w:ascii="宋体" w:hAnsi="宋体" w:eastAsia="宋体" w:cs="宋体"/>
          <w:b w:val="0"/>
          <w:bCs w:val="0"/>
          <w:color w:val="000000" w:themeColor="text1"/>
          <w:sz w:val="32"/>
          <w:szCs w:val="32"/>
          <w14:textFill>
            <w14:solidFill>
              <w14:schemeClr w14:val="tx1"/>
            </w14:solidFill>
          </w14:textFill>
        </w:rPr>
        <w:t xml:space="preserve"> </w:t>
      </w:r>
      <w:r>
        <w:rPr>
          <w:rFonts w:hint="eastAsia" w:ascii="宋体" w:hAnsi="宋体" w:eastAsia="宋体" w:cs="宋体"/>
          <w:b w:val="0"/>
          <w:bCs w:val="0"/>
          <w:color w:val="000000" w:themeColor="text1"/>
          <w:sz w:val="32"/>
          <w:szCs w:val="32"/>
          <w:lang w:val="en-US" w:eastAsia="zh-CN"/>
          <w14:textFill>
            <w14:solidFill>
              <w14:schemeClr w14:val="tx1"/>
            </w14:solidFill>
          </w14:textFill>
        </w:rPr>
        <w:t xml:space="preserve">   </w:t>
      </w:r>
    </w:p>
    <w:p>
      <w:pPr>
        <w:snapToGrid w:val="0"/>
        <w:spacing w:line="400" w:lineRule="exact"/>
        <w:ind w:left="2598" w:leftChars="128" w:hanging="2240" w:hangingChars="700"/>
        <w:rPr>
          <w:rFonts w:hint="eastAsia" w:ascii="宋体" w:hAnsi="宋体" w:eastAsia="宋体" w:cs="宋体"/>
          <w:b w:val="0"/>
          <w:bCs w:val="0"/>
          <w:color w:val="000000" w:themeColor="text1"/>
          <w:sz w:val="32"/>
          <w:szCs w:val="32"/>
          <w:lang w:val="en-US" w:eastAsia="zh-CN"/>
          <w14:textFill>
            <w14:solidFill>
              <w14:schemeClr w14:val="tx1"/>
            </w14:solidFill>
          </w14:textFill>
        </w:rPr>
      </w:pPr>
      <w:r>
        <w:rPr>
          <w:rFonts w:hint="eastAsia" w:ascii="宋体" w:hAnsi="宋体" w:eastAsia="宋体" w:cs="宋体"/>
          <w:b w:val="0"/>
          <w:bCs w:val="0"/>
          <w:color w:val="000000" w:themeColor="text1"/>
          <w:sz w:val="32"/>
          <w:szCs w:val="32"/>
          <w14:textFill>
            <w14:solidFill>
              <w14:schemeClr w14:val="tx1"/>
            </w14:solidFill>
          </w14:textFill>
        </w:rPr>
        <w:t>项</w:t>
      </w:r>
      <w:r>
        <w:rPr>
          <w:rFonts w:hint="eastAsia" w:ascii="宋体" w:hAnsi="宋体" w:eastAsia="宋体" w:cs="宋体"/>
          <w:b w:val="0"/>
          <w:bCs w:val="0"/>
          <w:color w:val="000000" w:themeColor="text1"/>
          <w:sz w:val="32"/>
          <w:szCs w:val="32"/>
          <w:lang w:val="en-US" w:eastAsia="zh-CN"/>
          <w14:textFill>
            <w14:solidFill>
              <w14:schemeClr w14:val="tx1"/>
            </w14:solidFill>
          </w14:textFill>
        </w:rPr>
        <w:t xml:space="preserve"> </w:t>
      </w:r>
      <w:r>
        <w:rPr>
          <w:rFonts w:hint="eastAsia" w:ascii="宋体" w:hAnsi="宋体" w:eastAsia="宋体" w:cs="宋体"/>
          <w:b w:val="0"/>
          <w:bCs w:val="0"/>
          <w:color w:val="000000" w:themeColor="text1"/>
          <w:sz w:val="32"/>
          <w:szCs w:val="32"/>
          <w14:textFill>
            <w14:solidFill>
              <w14:schemeClr w14:val="tx1"/>
            </w14:solidFill>
          </w14:textFill>
        </w:rPr>
        <w:t>目</w:t>
      </w:r>
      <w:r>
        <w:rPr>
          <w:rFonts w:hint="eastAsia" w:ascii="宋体" w:hAnsi="宋体" w:eastAsia="宋体" w:cs="宋体"/>
          <w:b w:val="0"/>
          <w:bCs w:val="0"/>
          <w:color w:val="000000" w:themeColor="text1"/>
          <w:sz w:val="32"/>
          <w:szCs w:val="32"/>
          <w:lang w:val="en-US" w:eastAsia="zh-CN"/>
          <w14:textFill>
            <w14:solidFill>
              <w14:schemeClr w14:val="tx1"/>
            </w14:solidFill>
          </w14:textFill>
        </w:rPr>
        <w:t xml:space="preserve"> </w:t>
      </w:r>
      <w:r>
        <w:rPr>
          <w:rFonts w:hint="eastAsia" w:ascii="宋体" w:hAnsi="宋体" w:eastAsia="宋体" w:cs="宋体"/>
          <w:b w:val="0"/>
          <w:bCs w:val="0"/>
          <w:color w:val="000000" w:themeColor="text1"/>
          <w:sz w:val="32"/>
          <w:szCs w:val="32"/>
          <w14:textFill>
            <w14:solidFill>
              <w14:schemeClr w14:val="tx1"/>
            </w14:solidFill>
          </w14:textFill>
        </w:rPr>
        <w:t>名</w:t>
      </w:r>
      <w:r>
        <w:rPr>
          <w:rFonts w:hint="eastAsia" w:ascii="宋体" w:hAnsi="宋体" w:eastAsia="宋体" w:cs="宋体"/>
          <w:b w:val="0"/>
          <w:bCs w:val="0"/>
          <w:color w:val="000000" w:themeColor="text1"/>
          <w:sz w:val="32"/>
          <w:szCs w:val="32"/>
          <w:lang w:val="en-US" w:eastAsia="zh-CN"/>
          <w14:textFill>
            <w14:solidFill>
              <w14:schemeClr w14:val="tx1"/>
            </w14:solidFill>
          </w14:textFill>
        </w:rPr>
        <w:t xml:space="preserve"> </w:t>
      </w:r>
      <w:r>
        <w:rPr>
          <w:rFonts w:hint="eastAsia" w:ascii="宋体" w:hAnsi="宋体" w:eastAsia="宋体" w:cs="宋体"/>
          <w:b w:val="0"/>
          <w:bCs w:val="0"/>
          <w:color w:val="000000" w:themeColor="text1"/>
          <w:sz w:val="32"/>
          <w:szCs w:val="32"/>
          <w14:textFill>
            <w14:solidFill>
              <w14:schemeClr w14:val="tx1"/>
            </w14:solidFill>
          </w14:textFill>
        </w:rPr>
        <w:t>称：荣昌区人民医院</w:t>
      </w:r>
      <w:r>
        <w:rPr>
          <w:rFonts w:hint="eastAsia" w:ascii="宋体" w:hAnsi="宋体" w:eastAsia="宋体" w:cs="宋体"/>
          <w:b w:val="0"/>
          <w:bCs w:val="0"/>
          <w:color w:val="000000" w:themeColor="text1"/>
          <w:sz w:val="32"/>
          <w:szCs w:val="32"/>
          <w:lang w:eastAsia="zh-CN"/>
          <w14:textFill>
            <w14:solidFill>
              <w14:schemeClr w14:val="tx1"/>
            </w14:solidFill>
          </w14:textFill>
        </w:rPr>
        <w:t>门诊弱电改造项目</w:t>
      </w:r>
    </w:p>
    <w:p>
      <w:pPr>
        <w:snapToGrid w:val="0"/>
        <w:spacing w:line="400" w:lineRule="exact"/>
        <w:ind w:firstLine="640" w:firstLineChars="200"/>
        <w:rPr>
          <w:rFonts w:hint="eastAsia" w:ascii="宋体" w:hAnsi="宋体" w:eastAsia="宋体" w:cs="宋体"/>
          <w:b w:val="0"/>
          <w:bCs w:val="0"/>
          <w:color w:val="000000" w:themeColor="text1"/>
          <w:sz w:val="32"/>
          <w:szCs w:val="32"/>
          <w14:textFill>
            <w14:solidFill>
              <w14:schemeClr w14:val="tx1"/>
            </w14:solidFill>
          </w14:textFill>
        </w:rPr>
      </w:pPr>
    </w:p>
    <w:p>
      <w:pPr>
        <w:snapToGrid w:val="0"/>
        <w:spacing w:line="400" w:lineRule="exact"/>
        <w:rPr>
          <w:rFonts w:hint="eastAsia" w:ascii="宋体" w:hAnsi="宋体" w:eastAsia="宋体" w:cs="宋体"/>
          <w:b w:val="0"/>
          <w:bCs w:val="0"/>
          <w:color w:val="000000" w:themeColor="text1"/>
          <w:sz w:val="32"/>
          <w:szCs w:val="32"/>
          <w14:textFill>
            <w14:solidFill>
              <w14:schemeClr w14:val="tx1"/>
            </w14:solidFill>
          </w14:textFill>
        </w:rPr>
      </w:pPr>
    </w:p>
    <w:p>
      <w:pPr>
        <w:snapToGrid w:val="0"/>
        <w:spacing w:line="400" w:lineRule="exact"/>
        <w:ind w:firstLine="640" w:firstLineChars="200"/>
        <w:rPr>
          <w:rFonts w:hint="eastAsia" w:ascii="宋体" w:hAnsi="宋体" w:eastAsia="宋体" w:cs="宋体"/>
          <w:b w:val="0"/>
          <w:bCs w:val="0"/>
          <w:color w:val="000000" w:themeColor="text1"/>
          <w:sz w:val="32"/>
          <w:szCs w:val="32"/>
          <w14:textFill>
            <w14:solidFill>
              <w14:schemeClr w14:val="tx1"/>
            </w14:solidFill>
          </w14:textFill>
        </w:rPr>
      </w:pPr>
    </w:p>
    <w:p>
      <w:pPr>
        <w:snapToGrid w:val="0"/>
        <w:spacing w:line="400" w:lineRule="exact"/>
        <w:ind w:firstLine="320" w:firstLineChars="100"/>
        <w:rPr>
          <w:rFonts w:hint="eastAsia" w:ascii="宋体" w:hAnsi="宋体" w:eastAsia="宋体" w:cs="宋体"/>
          <w:b w:val="0"/>
          <w:bCs w:val="0"/>
          <w:color w:val="000000" w:themeColor="text1"/>
          <w:sz w:val="32"/>
          <w:szCs w:val="32"/>
          <w:lang w:eastAsia="zh-CN"/>
          <w14:textFill>
            <w14:solidFill>
              <w14:schemeClr w14:val="tx1"/>
            </w14:solidFill>
          </w14:textFill>
        </w:rPr>
      </w:pPr>
      <w:r>
        <w:rPr>
          <w:rFonts w:hint="eastAsia" w:ascii="宋体" w:hAnsi="宋体" w:eastAsia="宋体" w:cs="宋体"/>
          <w:b w:val="0"/>
          <w:bCs w:val="0"/>
          <w:color w:val="000000" w:themeColor="text1"/>
          <w:sz w:val="32"/>
          <w:szCs w:val="32"/>
          <w14:textFill>
            <w14:solidFill>
              <w14:schemeClr w14:val="tx1"/>
            </w14:solidFill>
          </w14:textFill>
        </w:rPr>
        <w:t>采</w:t>
      </w:r>
      <w:r>
        <w:rPr>
          <w:rFonts w:hint="eastAsia" w:ascii="宋体" w:hAnsi="宋体" w:eastAsia="宋体" w:cs="宋体"/>
          <w:b w:val="0"/>
          <w:bCs w:val="0"/>
          <w:color w:val="000000" w:themeColor="text1"/>
          <w:sz w:val="32"/>
          <w:szCs w:val="32"/>
          <w:lang w:val="en-US" w:eastAsia="zh-CN"/>
          <w14:textFill>
            <w14:solidFill>
              <w14:schemeClr w14:val="tx1"/>
            </w14:solidFill>
          </w14:textFill>
        </w:rPr>
        <w:t xml:space="preserve">   </w:t>
      </w:r>
      <w:r>
        <w:rPr>
          <w:rFonts w:hint="eastAsia" w:ascii="宋体" w:hAnsi="宋体" w:eastAsia="宋体" w:cs="宋体"/>
          <w:b w:val="0"/>
          <w:bCs w:val="0"/>
          <w:color w:val="000000" w:themeColor="text1"/>
          <w:sz w:val="32"/>
          <w:szCs w:val="32"/>
          <w14:textFill>
            <w14:solidFill>
              <w14:schemeClr w14:val="tx1"/>
            </w14:solidFill>
          </w14:textFill>
        </w:rPr>
        <w:t>购</w:t>
      </w:r>
      <w:r>
        <w:rPr>
          <w:rFonts w:hint="eastAsia" w:ascii="宋体" w:hAnsi="宋体" w:eastAsia="宋体" w:cs="宋体"/>
          <w:b w:val="0"/>
          <w:bCs w:val="0"/>
          <w:color w:val="000000" w:themeColor="text1"/>
          <w:sz w:val="32"/>
          <w:szCs w:val="32"/>
          <w:lang w:val="en-US" w:eastAsia="zh-CN"/>
          <w14:textFill>
            <w14:solidFill>
              <w14:schemeClr w14:val="tx1"/>
            </w14:solidFill>
          </w14:textFill>
        </w:rPr>
        <w:t xml:space="preserve">   </w:t>
      </w:r>
      <w:r>
        <w:rPr>
          <w:rFonts w:hint="eastAsia" w:ascii="宋体" w:hAnsi="宋体" w:eastAsia="宋体" w:cs="宋体"/>
          <w:b w:val="0"/>
          <w:bCs w:val="0"/>
          <w:color w:val="000000" w:themeColor="text1"/>
          <w:sz w:val="32"/>
          <w:szCs w:val="32"/>
          <w14:textFill>
            <w14:solidFill>
              <w14:schemeClr w14:val="tx1"/>
            </w14:solidFill>
          </w14:textFill>
        </w:rPr>
        <w:t>人： 重庆市</w:t>
      </w:r>
      <w:r>
        <w:rPr>
          <w:rFonts w:hint="eastAsia" w:ascii="宋体" w:hAnsi="宋体" w:eastAsia="宋体" w:cs="宋体"/>
          <w:b w:val="0"/>
          <w:bCs w:val="0"/>
          <w:color w:val="000000" w:themeColor="text1"/>
          <w:sz w:val="32"/>
          <w:szCs w:val="32"/>
          <w:lang w:eastAsia="zh-CN"/>
          <w14:textFill>
            <w14:solidFill>
              <w14:schemeClr w14:val="tx1"/>
            </w14:solidFill>
          </w14:textFill>
        </w:rPr>
        <w:t>荣昌区人民医院</w:t>
      </w:r>
    </w:p>
    <w:p>
      <w:pPr>
        <w:snapToGrid w:val="0"/>
        <w:spacing w:line="400" w:lineRule="exact"/>
        <w:ind w:firstLine="640" w:firstLineChars="200"/>
        <w:rPr>
          <w:rFonts w:hint="eastAsia" w:ascii="宋体" w:hAnsi="宋体" w:eastAsia="宋体" w:cs="宋体"/>
          <w:b w:val="0"/>
          <w:bCs w:val="0"/>
          <w:color w:val="000000" w:themeColor="text1"/>
          <w:sz w:val="32"/>
          <w:szCs w:val="32"/>
          <w:lang w:eastAsia="zh-CN"/>
          <w14:textFill>
            <w14:solidFill>
              <w14:schemeClr w14:val="tx1"/>
            </w14:solidFill>
          </w14:textFill>
        </w:rPr>
      </w:pPr>
    </w:p>
    <w:p>
      <w:pPr>
        <w:snapToGrid w:val="0"/>
        <w:spacing w:line="400" w:lineRule="exact"/>
        <w:ind w:firstLine="320" w:firstLineChars="100"/>
        <w:rPr>
          <w:rFonts w:hint="eastAsia" w:ascii="宋体" w:hAnsi="宋体" w:eastAsia="宋体" w:cs="宋体"/>
          <w:b w:val="0"/>
          <w:bCs w:val="0"/>
          <w:color w:val="000000" w:themeColor="text1"/>
          <w:sz w:val="32"/>
          <w:szCs w:val="32"/>
          <w14:textFill>
            <w14:solidFill>
              <w14:schemeClr w14:val="tx1"/>
            </w14:solidFill>
          </w14:textFill>
        </w:rPr>
      </w:pPr>
      <w:r>
        <w:rPr>
          <w:rFonts w:hint="eastAsia" w:ascii="宋体" w:hAnsi="宋体" w:eastAsia="宋体" w:cs="宋体"/>
          <w:b w:val="0"/>
          <w:bCs w:val="0"/>
          <w:color w:val="000000" w:themeColor="text1"/>
          <w:sz w:val="32"/>
          <w:szCs w:val="32"/>
          <w14:textFill>
            <w14:solidFill>
              <w14:schemeClr w14:val="tx1"/>
            </w14:solidFill>
          </w14:textFill>
        </w:rPr>
        <w:t>采购代理机构： 重庆优佳工程招标代理有限公司</w:t>
      </w:r>
    </w:p>
    <w:p>
      <w:pPr>
        <w:spacing w:line="720" w:lineRule="exact"/>
        <w:jc w:val="center"/>
        <w:outlineLvl w:val="9"/>
        <w:rPr>
          <w:rFonts w:hint="eastAsia" w:ascii="宋体" w:hAnsi="宋体" w:eastAsia="宋体" w:cs="宋体"/>
          <w:b w:val="0"/>
          <w:bCs w:val="0"/>
          <w:color w:val="000000" w:themeColor="text1"/>
          <w:sz w:val="32"/>
          <w:szCs w:val="32"/>
          <w14:textFill>
            <w14:solidFill>
              <w14:schemeClr w14:val="tx1"/>
            </w14:solidFill>
          </w14:textFill>
        </w:rPr>
      </w:pPr>
    </w:p>
    <w:p>
      <w:pPr>
        <w:spacing w:line="720" w:lineRule="exact"/>
        <w:jc w:val="center"/>
        <w:outlineLvl w:val="9"/>
        <w:rPr>
          <w:rFonts w:hint="eastAsia" w:ascii="宋体" w:hAnsi="宋体" w:eastAsia="宋体" w:cs="宋体"/>
          <w:b w:val="0"/>
          <w:bCs w:val="0"/>
          <w:color w:val="000000" w:themeColor="text1"/>
          <w:sz w:val="36"/>
          <w:szCs w:val="36"/>
          <w14:textFill>
            <w14:solidFill>
              <w14:schemeClr w14:val="tx1"/>
            </w14:solidFill>
          </w14:textFill>
        </w:rPr>
      </w:pPr>
    </w:p>
    <w:p>
      <w:pPr>
        <w:spacing w:line="720" w:lineRule="exact"/>
        <w:jc w:val="center"/>
        <w:outlineLvl w:val="1"/>
        <w:rPr>
          <w:rFonts w:hint="eastAsia" w:ascii="宋体" w:hAnsi="宋体" w:eastAsia="宋体" w:cs="宋体"/>
          <w:b w:val="0"/>
          <w:bCs w:val="0"/>
          <w:color w:val="000000" w:themeColor="text1"/>
          <w:sz w:val="36"/>
          <w:szCs w:val="36"/>
          <w14:textFill>
            <w14:solidFill>
              <w14:schemeClr w14:val="tx1"/>
            </w14:solidFill>
          </w14:textFill>
        </w:rPr>
      </w:pPr>
      <w:r>
        <w:rPr>
          <w:rFonts w:hint="eastAsia" w:ascii="宋体" w:hAnsi="宋体" w:eastAsia="宋体" w:cs="宋体"/>
          <w:b w:val="0"/>
          <w:bCs w:val="0"/>
          <w:color w:val="000000" w:themeColor="text1"/>
          <w:sz w:val="36"/>
          <w:szCs w:val="36"/>
          <w:lang w:val="en-US" w:eastAsia="zh-CN"/>
          <w14:textFill>
            <w14:solidFill>
              <w14:schemeClr w14:val="tx1"/>
            </w14:solidFill>
          </w14:textFill>
        </w:rPr>
        <w:t xml:space="preserve">                             </w:t>
      </w:r>
      <w:bookmarkStart w:id="12" w:name="_Toc1238"/>
      <w:bookmarkStart w:id="13" w:name="_Toc16428"/>
      <w:bookmarkStart w:id="14" w:name="_Toc24460"/>
      <w:bookmarkStart w:id="15" w:name="_Toc627"/>
      <w:bookmarkStart w:id="16" w:name="_Toc1283"/>
      <w:bookmarkStart w:id="17" w:name="_Toc26579"/>
      <w:bookmarkStart w:id="18" w:name="_Toc31039"/>
      <w:bookmarkStart w:id="19" w:name="_Toc2333"/>
      <w:bookmarkStart w:id="20" w:name="_Toc20175"/>
      <w:r>
        <w:rPr>
          <w:rFonts w:hint="eastAsia" w:ascii="宋体" w:hAnsi="宋体" w:eastAsia="宋体" w:cs="宋体"/>
          <w:b w:val="0"/>
          <w:bCs w:val="0"/>
          <w:color w:val="000000" w:themeColor="text1"/>
          <w:sz w:val="36"/>
          <w:szCs w:val="36"/>
          <w:lang w:eastAsia="zh-CN"/>
          <w14:textFill>
            <w14:solidFill>
              <w14:schemeClr w14:val="tx1"/>
            </w14:solidFill>
          </w14:textFill>
        </w:rPr>
        <w:t>二〇二</w:t>
      </w:r>
      <w:r>
        <w:rPr>
          <w:rFonts w:hint="eastAsia" w:ascii="宋体" w:hAnsi="宋体" w:eastAsia="宋体" w:cs="宋体"/>
          <w:b w:val="0"/>
          <w:bCs w:val="0"/>
          <w:color w:val="000000" w:themeColor="text1"/>
          <w:sz w:val="36"/>
          <w:szCs w:val="36"/>
          <w:lang w:val="en-US" w:eastAsia="zh-CN"/>
          <w14:textFill>
            <w14:solidFill>
              <w14:schemeClr w14:val="tx1"/>
            </w14:solidFill>
          </w14:textFill>
        </w:rPr>
        <w:t>一</w:t>
      </w:r>
      <w:r>
        <w:rPr>
          <w:rFonts w:hint="eastAsia" w:ascii="宋体" w:hAnsi="宋体" w:eastAsia="宋体" w:cs="宋体"/>
          <w:b w:val="0"/>
          <w:bCs w:val="0"/>
          <w:color w:val="000000" w:themeColor="text1"/>
          <w:sz w:val="36"/>
          <w:szCs w:val="36"/>
          <w:lang w:eastAsia="zh-CN"/>
          <w14:textFill>
            <w14:solidFill>
              <w14:schemeClr w14:val="tx1"/>
            </w14:solidFill>
          </w14:textFill>
        </w:rPr>
        <w:t>年</w:t>
      </w:r>
      <w:r>
        <w:rPr>
          <w:rFonts w:hint="eastAsia" w:ascii="宋体" w:hAnsi="宋体" w:cs="宋体"/>
          <w:b w:val="0"/>
          <w:bCs w:val="0"/>
          <w:color w:val="000000" w:themeColor="text1"/>
          <w:sz w:val="36"/>
          <w:szCs w:val="36"/>
          <w:lang w:eastAsia="zh-CN"/>
          <w14:textFill>
            <w14:solidFill>
              <w14:schemeClr w14:val="tx1"/>
            </w14:solidFill>
          </w14:textFill>
        </w:rPr>
        <w:t>十</w:t>
      </w:r>
      <w:r>
        <w:rPr>
          <w:rFonts w:hint="eastAsia" w:ascii="宋体" w:hAnsi="宋体" w:eastAsia="宋体" w:cs="宋体"/>
          <w:b w:val="0"/>
          <w:bCs w:val="0"/>
          <w:color w:val="000000" w:themeColor="text1"/>
          <w:sz w:val="36"/>
          <w:szCs w:val="36"/>
          <w:lang w:eastAsia="zh-CN"/>
          <w14:textFill>
            <w14:solidFill>
              <w14:schemeClr w14:val="tx1"/>
            </w14:solidFill>
          </w14:textFill>
        </w:rPr>
        <w:t>月</w:t>
      </w:r>
      <w:bookmarkEnd w:id="12"/>
      <w:bookmarkEnd w:id="13"/>
      <w:bookmarkEnd w:id="14"/>
      <w:bookmarkEnd w:id="15"/>
      <w:bookmarkEnd w:id="16"/>
      <w:bookmarkEnd w:id="17"/>
      <w:bookmarkEnd w:id="18"/>
      <w:bookmarkEnd w:id="19"/>
      <w:bookmarkEnd w:id="20"/>
    </w:p>
    <w:p>
      <w:pPr>
        <w:pStyle w:val="2"/>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themeColor="text1"/>
          <w:sz w:val="36"/>
          <w:szCs w:val="36"/>
          <w:lang w:eastAsia="zh-CN"/>
          <w14:textFill>
            <w14:solidFill>
              <w14:schemeClr w14:val="tx1"/>
            </w14:solidFill>
          </w14:textFill>
        </w:rPr>
        <w:sectPr>
          <w:headerReference r:id="rId3" w:type="default"/>
          <w:footerReference r:id="rId4" w:type="default"/>
          <w:pgSz w:w="11907" w:h="16840"/>
          <w:pgMar w:top="1134" w:right="1191" w:bottom="1134" w:left="1304" w:header="851" w:footer="992" w:gutter="0"/>
          <w:pgNumType w:fmt="decimal" w:start="1"/>
          <w:cols w:space="720" w:num="1"/>
          <w:docGrid w:linePitch="380" w:charSpace="-5735"/>
        </w:sectPr>
      </w:pPr>
    </w:p>
    <w:p>
      <w:pPr>
        <w:pStyle w:val="23"/>
        <w:keepNext w:val="0"/>
        <w:keepLines w:val="0"/>
        <w:pageBreakBefore w:val="0"/>
        <w:tabs>
          <w:tab w:val="right" w:leader="dot" w:pos="9412"/>
        </w:tabs>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000000" w:themeColor="text1"/>
          <w:sz w:val="20"/>
          <w:szCs w:val="40"/>
          <w:lang w:val="en-US" w:eastAsia="zh-CN"/>
          <w14:textFill>
            <w14:solidFill>
              <w14:schemeClr w14:val="tx1"/>
            </w14:solidFill>
          </w14:textFill>
        </w:rPr>
      </w:pPr>
      <w:r>
        <w:rPr>
          <w:rFonts w:hint="eastAsia" w:ascii="宋体" w:hAnsi="宋体" w:eastAsia="宋体" w:cs="宋体"/>
          <w:b/>
          <w:bCs/>
          <w:color w:val="000000" w:themeColor="text1"/>
          <w:sz w:val="36"/>
          <w:szCs w:val="36"/>
          <w:lang w:eastAsia="zh-CN"/>
          <w14:textFill>
            <w14:solidFill>
              <w14:schemeClr w14:val="tx1"/>
            </w14:solidFill>
          </w14:textFill>
        </w:rPr>
        <w:t>目</w:t>
      </w:r>
      <w:r>
        <w:rPr>
          <w:rFonts w:hint="eastAsia" w:ascii="宋体" w:hAnsi="宋体" w:eastAsia="宋体" w:cs="宋体"/>
          <w:b/>
          <w:bCs/>
          <w:color w:val="000000" w:themeColor="text1"/>
          <w:sz w:val="36"/>
          <w:szCs w:val="36"/>
          <w:lang w:val="en-US" w:eastAsia="zh-CN"/>
          <w14:textFill>
            <w14:solidFill>
              <w14:schemeClr w14:val="tx1"/>
            </w14:solidFill>
          </w14:textFill>
        </w:rPr>
        <w:t xml:space="preserve">   </w:t>
      </w:r>
      <w:r>
        <w:rPr>
          <w:rFonts w:hint="eastAsia" w:ascii="宋体" w:hAnsi="宋体" w:eastAsia="宋体" w:cs="宋体"/>
          <w:b/>
          <w:bCs/>
          <w:color w:val="000000" w:themeColor="text1"/>
          <w:sz w:val="36"/>
          <w:szCs w:val="36"/>
          <w:lang w:eastAsia="zh-CN"/>
          <w14:textFill>
            <w14:solidFill>
              <w14:schemeClr w14:val="tx1"/>
            </w14:solidFill>
          </w14:textFill>
        </w:rPr>
        <w:t>录</w:t>
      </w:r>
      <w:r>
        <w:rPr>
          <w:rFonts w:hint="eastAsia" w:ascii="宋体" w:hAnsi="宋体" w:eastAsia="宋体" w:cs="宋体"/>
          <w:color w:val="000000" w:themeColor="text1"/>
          <w:sz w:val="40"/>
          <w:szCs w:val="40"/>
          <w:lang w:val="en-US" w:eastAsia="zh-CN"/>
          <w14:textFill>
            <w14:solidFill>
              <w14:schemeClr w14:val="tx1"/>
            </w14:solidFill>
          </w14:textFill>
        </w:rPr>
        <w:fldChar w:fldCharType="begin"/>
      </w:r>
      <w:r>
        <w:rPr>
          <w:rFonts w:hint="eastAsia" w:ascii="宋体" w:hAnsi="宋体" w:eastAsia="宋体" w:cs="宋体"/>
          <w:color w:val="000000" w:themeColor="text1"/>
          <w:sz w:val="40"/>
          <w:szCs w:val="40"/>
          <w:lang w:val="en-US" w:eastAsia="zh-CN"/>
          <w14:textFill>
            <w14:solidFill>
              <w14:schemeClr w14:val="tx1"/>
            </w14:solidFill>
          </w14:textFill>
        </w:rPr>
        <w:instrText xml:space="preserve">TOC \o "1-2" \h \u </w:instrText>
      </w:r>
      <w:r>
        <w:rPr>
          <w:rFonts w:hint="eastAsia" w:ascii="宋体" w:hAnsi="宋体" w:eastAsia="宋体" w:cs="宋体"/>
          <w:color w:val="000000" w:themeColor="text1"/>
          <w:sz w:val="40"/>
          <w:szCs w:val="40"/>
          <w:lang w:val="en-US" w:eastAsia="zh-CN"/>
          <w14:textFill>
            <w14:solidFill>
              <w14:schemeClr w14:val="tx1"/>
            </w14:solidFill>
          </w14:textFill>
        </w:rPr>
        <w:fldChar w:fldCharType="separate"/>
      </w:r>
    </w:p>
    <w:p>
      <w:pPr>
        <w:pStyle w:val="15"/>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b/>
          <w:bCs/>
          <w:color w:val="000000" w:themeColor="text1"/>
          <w14:textFill>
            <w14:solidFill>
              <w14:schemeClr w14:val="tx1"/>
            </w14:solidFill>
          </w14:textFill>
        </w:rPr>
      </w:pPr>
      <w:r>
        <w:rPr>
          <w:rFonts w:hint="eastAsia" w:ascii="宋体" w:hAnsi="宋体" w:eastAsia="宋体" w:cs="宋体"/>
          <w:b/>
          <w:bCs/>
          <w:color w:val="000000" w:themeColor="text1"/>
          <w:szCs w:val="40"/>
          <w:lang w:val="en-US" w:eastAsia="zh-CN"/>
          <w14:textFill>
            <w14:solidFill>
              <w14:schemeClr w14:val="tx1"/>
            </w14:solidFill>
          </w14:textFill>
        </w:rPr>
        <w:fldChar w:fldCharType="begin"/>
      </w:r>
      <w:r>
        <w:rPr>
          <w:rFonts w:hint="eastAsia" w:ascii="宋体" w:hAnsi="宋体" w:eastAsia="宋体" w:cs="宋体"/>
          <w:b/>
          <w:bCs/>
          <w:color w:val="000000" w:themeColor="text1"/>
          <w:szCs w:val="40"/>
          <w:lang w:val="en-US" w:eastAsia="zh-CN"/>
          <w14:textFill>
            <w14:solidFill>
              <w14:schemeClr w14:val="tx1"/>
            </w14:solidFill>
          </w14:textFill>
        </w:rPr>
        <w:instrText xml:space="preserve"> HYPERLINK \l _Toc5869 </w:instrText>
      </w:r>
      <w:r>
        <w:rPr>
          <w:rFonts w:hint="eastAsia" w:ascii="宋体" w:hAnsi="宋体" w:eastAsia="宋体" w:cs="宋体"/>
          <w:b/>
          <w:bCs/>
          <w:color w:val="000000" w:themeColor="text1"/>
          <w:szCs w:val="40"/>
          <w:lang w:val="en-US" w:eastAsia="zh-CN"/>
          <w14:textFill>
            <w14:solidFill>
              <w14:schemeClr w14:val="tx1"/>
            </w14:solidFill>
          </w14:textFill>
        </w:rPr>
        <w:fldChar w:fldCharType="separate"/>
      </w:r>
      <w:r>
        <w:rPr>
          <w:rFonts w:hint="eastAsia" w:ascii="宋体" w:hAnsi="宋体" w:eastAsia="宋体" w:cs="宋体"/>
          <w:b/>
          <w:bCs/>
          <w:color w:val="000000" w:themeColor="text1"/>
          <w:szCs w:val="30"/>
          <w14:textFill>
            <w14:solidFill>
              <w14:schemeClr w14:val="tx1"/>
            </w14:solidFill>
          </w14:textFill>
        </w:rPr>
        <w:t>第一篇  竞争性谈判邀请书</w:t>
      </w:r>
      <w:r>
        <w:rPr>
          <w:rFonts w:hint="eastAsia" w:ascii="宋体" w:hAnsi="宋体" w:eastAsia="宋体" w:cs="宋体"/>
          <w:b/>
          <w:bCs/>
          <w:color w:val="000000" w:themeColor="text1"/>
          <w14:textFill>
            <w14:solidFill>
              <w14:schemeClr w14:val="tx1"/>
            </w14:solidFill>
          </w14:textFill>
        </w:rPr>
        <w:tab/>
      </w:r>
      <w:r>
        <w:rPr>
          <w:rFonts w:hint="eastAsia" w:ascii="宋体" w:hAnsi="宋体" w:eastAsia="宋体" w:cs="宋体"/>
          <w:b/>
          <w:bCs/>
          <w:color w:val="000000" w:themeColor="text1"/>
          <w14:textFill>
            <w14:solidFill>
              <w14:schemeClr w14:val="tx1"/>
            </w14:solidFill>
          </w14:textFill>
        </w:rPr>
        <w:fldChar w:fldCharType="begin"/>
      </w:r>
      <w:r>
        <w:rPr>
          <w:rFonts w:hint="eastAsia" w:ascii="宋体" w:hAnsi="宋体" w:eastAsia="宋体" w:cs="宋体"/>
          <w:b/>
          <w:bCs/>
          <w:color w:val="000000" w:themeColor="text1"/>
          <w14:textFill>
            <w14:solidFill>
              <w14:schemeClr w14:val="tx1"/>
            </w14:solidFill>
          </w14:textFill>
        </w:rPr>
        <w:instrText xml:space="preserve"> PAGEREF _Toc5869 \h </w:instrText>
      </w:r>
      <w:r>
        <w:rPr>
          <w:rFonts w:hint="eastAsia" w:ascii="宋体" w:hAnsi="宋体" w:eastAsia="宋体" w:cs="宋体"/>
          <w:b/>
          <w:bCs/>
          <w:color w:val="000000" w:themeColor="text1"/>
          <w14:textFill>
            <w14:solidFill>
              <w14:schemeClr w14:val="tx1"/>
            </w14:solidFill>
          </w14:textFill>
        </w:rPr>
        <w:fldChar w:fldCharType="separate"/>
      </w:r>
      <w:r>
        <w:rPr>
          <w:rFonts w:hint="eastAsia" w:ascii="宋体" w:hAnsi="宋体" w:eastAsia="宋体" w:cs="宋体"/>
          <w:b/>
          <w:bCs/>
          <w:color w:val="000000" w:themeColor="text1"/>
          <w14:textFill>
            <w14:solidFill>
              <w14:schemeClr w14:val="tx1"/>
            </w14:solidFill>
          </w14:textFill>
        </w:rPr>
        <w:t>3</w:t>
      </w:r>
      <w:r>
        <w:rPr>
          <w:rFonts w:hint="eastAsia" w:ascii="宋体" w:hAnsi="宋体" w:eastAsia="宋体" w:cs="宋体"/>
          <w:b/>
          <w:bCs/>
          <w:color w:val="000000" w:themeColor="text1"/>
          <w14:textFill>
            <w14:solidFill>
              <w14:schemeClr w14:val="tx1"/>
            </w14:solidFill>
          </w14:textFill>
        </w:rPr>
        <w:fldChar w:fldCharType="end"/>
      </w:r>
      <w:r>
        <w:rPr>
          <w:rFonts w:hint="eastAsia" w:ascii="宋体" w:hAnsi="宋体" w:eastAsia="宋体" w:cs="宋体"/>
          <w:b/>
          <w:bCs/>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_Toc19621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bCs w:val="0"/>
          <w:color w:val="000000" w:themeColor="text1"/>
          <w:szCs w:val="24"/>
          <w14:textFill>
            <w14:solidFill>
              <w14:schemeClr w14:val="tx1"/>
            </w14:solidFill>
          </w14:textFill>
        </w:rPr>
        <w:t>一、竞争性谈判内容</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_Toc19621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_Toc14770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bCs w:val="0"/>
          <w:color w:val="000000" w:themeColor="text1"/>
          <w:szCs w:val="24"/>
          <w14:textFill>
            <w14:solidFill>
              <w14:schemeClr w14:val="tx1"/>
            </w14:solidFill>
          </w14:textFill>
        </w:rPr>
        <w:t>二、资金来源</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_Toc14770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_Toc24218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bCs w:val="0"/>
          <w:color w:val="000000" w:themeColor="text1"/>
          <w:szCs w:val="24"/>
          <w14:textFill>
            <w14:solidFill>
              <w14:schemeClr w14:val="tx1"/>
            </w14:solidFill>
          </w14:textFill>
        </w:rPr>
        <w:t>三、谈判资格</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_Toc24218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_Toc10152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bCs w:val="0"/>
          <w:color w:val="000000" w:themeColor="text1"/>
          <w:szCs w:val="24"/>
          <w:lang w:eastAsia="zh-CN"/>
          <w14:textFill>
            <w14:solidFill>
              <w14:schemeClr w14:val="tx1"/>
            </w14:solidFill>
          </w14:textFill>
        </w:rPr>
        <w:t>四、</w:t>
      </w:r>
      <w:r>
        <w:rPr>
          <w:rFonts w:hint="eastAsia" w:ascii="宋体" w:hAnsi="宋体" w:eastAsia="宋体" w:cs="宋体"/>
          <w:bCs w:val="0"/>
          <w:color w:val="000000" w:themeColor="text1"/>
          <w:szCs w:val="24"/>
          <w14:textFill>
            <w14:solidFill>
              <w14:schemeClr w14:val="tx1"/>
            </w14:solidFill>
          </w14:textFill>
        </w:rPr>
        <w:t>谈判有关说明</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_Toc10152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_Toc29022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bCs w:val="0"/>
          <w:color w:val="000000" w:themeColor="text1"/>
          <w:szCs w:val="24"/>
          <w:lang w:eastAsia="zh-CN"/>
          <w14:textFill>
            <w14:solidFill>
              <w14:schemeClr w14:val="tx1"/>
            </w14:solidFill>
          </w14:textFill>
        </w:rPr>
        <w:t>五、保证金</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_Toc29022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szCs w:val="40"/>
          <w:lang w:val="en-US" w:eastAsia="zh-CN"/>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_Toc268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40"/>
          <w:lang w:val="en-US" w:eastAsia="zh-CN"/>
          <w14:textFill>
            <w14:solidFill>
              <w14:schemeClr w14:val="tx1"/>
            </w14:solidFill>
          </w14:textFill>
        </w:rPr>
        <w:t>六、采购项目需落实的政府采购政策</w:t>
      </w:r>
      <w:r>
        <w:rPr>
          <w:rFonts w:hint="eastAsia" w:ascii="宋体" w:hAnsi="宋体" w:eastAsia="宋体" w:cs="宋体"/>
          <w:color w:val="000000" w:themeColor="text1"/>
          <w:szCs w:val="40"/>
          <w:lang w:val="en-US" w:eastAsia="zh-CN"/>
          <w14:textFill>
            <w14:solidFill>
              <w14:schemeClr w14:val="tx1"/>
            </w14:solidFill>
          </w14:textFill>
        </w:rPr>
        <w:tab/>
      </w: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PAGEREF _Toc268 \h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40"/>
          <w:lang w:val="en-US" w:eastAsia="zh-CN"/>
          <w14:textFill>
            <w14:solidFill>
              <w14:schemeClr w14:val="tx1"/>
            </w14:solidFill>
          </w14:textFill>
        </w:rPr>
        <w:t>5</w:t>
      </w:r>
      <w:r>
        <w:rPr>
          <w:rFonts w:hint="eastAsia" w:ascii="宋体" w:hAnsi="宋体" w:eastAsia="宋体" w:cs="宋体"/>
          <w:color w:val="000000" w:themeColor="text1"/>
          <w:szCs w:val="40"/>
          <w:lang w:val="en-US" w:eastAsia="zh-CN"/>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_Toc14658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bCs w:val="0"/>
          <w:color w:val="000000" w:themeColor="text1"/>
          <w:szCs w:val="24"/>
          <w:lang w:eastAsia="zh-CN"/>
          <w14:textFill>
            <w14:solidFill>
              <w14:schemeClr w14:val="tx1"/>
            </w14:solidFill>
          </w14:textFill>
        </w:rPr>
        <w:t>七、其它有关规定</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_Toc14658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_Toc4558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bCs w:val="0"/>
          <w:color w:val="000000" w:themeColor="text1"/>
          <w:szCs w:val="24"/>
          <w:lang w:eastAsia="zh-CN"/>
          <w14:textFill>
            <w14:solidFill>
              <w14:schemeClr w14:val="tx1"/>
            </w14:solidFill>
          </w14:textFill>
        </w:rPr>
        <w:t>八、现场踏勘</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_Toc4558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_Toc8145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bCs w:val="0"/>
          <w:color w:val="000000" w:themeColor="text1"/>
          <w:szCs w:val="24"/>
          <w:lang w:eastAsia="zh-CN"/>
          <w14:textFill>
            <w14:solidFill>
              <w14:schemeClr w14:val="tx1"/>
            </w14:solidFill>
          </w14:textFill>
        </w:rPr>
        <w:t>九、联系方式</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_Toc8145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5"/>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b/>
          <w:bCs/>
          <w:color w:val="000000" w:themeColor="text1"/>
          <w:szCs w:val="40"/>
          <w:lang w:val="en-US" w:eastAsia="zh-CN"/>
          <w14:textFill>
            <w14:solidFill>
              <w14:schemeClr w14:val="tx1"/>
            </w14:solidFill>
          </w14:textFill>
        </w:rPr>
      </w:pPr>
      <w:r>
        <w:rPr>
          <w:rFonts w:hint="eastAsia" w:ascii="宋体" w:hAnsi="宋体" w:eastAsia="宋体" w:cs="宋体"/>
          <w:b/>
          <w:bCs/>
          <w:color w:val="000000" w:themeColor="text1"/>
          <w:szCs w:val="40"/>
          <w:lang w:val="en-US" w:eastAsia="zh-CN"/>
          <w14:textFill>
            <w14:solidFill>
              <w14:schemeClr w14:val="tx1"/>
            </w14:solidFill>
          </w14:textFill>
        </w:rPr>
        <w:fldChar w:fldCharType="begin"/>
      </w:r>
      <w:r>
        <w:rPr>
          <w:rFonts w:hint="eastAsia" w:ascii="宋体" w:hAnsi="宋体" w:eastAsia="宋体" w:cs="宋体"/>
          <w:b/>
          <w:bCs/>
          <w:color w:val="000000" w:themeColor="text1"/>
          <w:szCs w:val="40"/>
          <w:lang w:val="en-US" w:eastAsia="zh-CN"/>
          <w14:textFill>
            <w14:solidFill>
              <w14:schemeClr w14:val="tx1"/>
            </w14:solidFill>
          </w14:textFill>
        </w:rPr>
        <w:instrText xml:space="preserve"> HYPERLINK \l _Toc7487 </w:instrText>
      </w:r>
      <w:r>
        <w:rPr>
          <w:rFonts w:hint="eastAsia" w:ascii="宋体" w:hAnsi="宋体" w:eastAsia="宋体" w:cs="宋体"/>
          <w:b/>
          <w:bCs/>
          <w:color w:val="000000" w:themeColor="text1"/>
          <w:szCs w:val="40"/>
          <w:lang w:val="en-US" w:eastAsia="zh-CN"/>
          <w14:textFill>
            <w14:solidFill>
              <w14:schemeClr w14:val="tx1"/>
            </w14:solidFill>
          </w14:textFill>
        </w:rPr>
        <w:fldChar w:fldCharType="separate"/>
      </w:r>
      <w:r>
        <w:rPr>
          <w:rFonts w:hint="eastAsia" w:ascii="宋体" w:hAnsi="宋体" w:eastAsia="宋体" w:cs="宋体"/>
          <w:b/>
          <w:bCs/>
          <w:color w:val="000000" w:themeColor="text1"/>
          <w:szCs w:val="40"/>
          <w:lang w:val="en-US" w:eastAsia="zh-CN"/>
          <w14:textFill>
            <w14:solidFill>
              <w14:schemeClr w14:val="tx1"/>
            </w14:solidFill>
          </w14:textFill>
        </w:rPr>
        <w:t>第二篇  供应商须知</w:t>
      </w:r>
      <w:r>
        <w:rPr>
          <w:rFonts w:hint="eastAsia" w:ascii="宋体" w:hAnsi="宋体" w:eastAsia="宋体" w:cs="宋体"/>
          <w:b/>
          <w:bCs/>
          <w:color w:val="000000" w:themeColor="text1"/>
          <w:szCs w:val="40"/>
          <w:lang w:val="en-US" w:eastAsia="zh-CN"/>
          <w14:textFill>
            <w14:solidFill>
              <w14:schemeClr w14:val="tx1"/>
            </w14:solidFill>
          </w14:textFill>
        </w:rPr>
        <w:tab/>
      </w:r>
      <w:r>
        <w:rPr>
          <w:rFonts w:hint="eastAsia" w:ascii="宋体" w:hAnsi="宋体" w:eastAsia="宋体" w:cs="宋体"/>
          <w:b/>
          <w:bCs/>
          <w:color w:val="000000" w:themeColor="text1"/>
          <w:szCs w:val="40"/>
          <w:lang w:val="en-US" w:eastAsia="zh-CN"/>
          <w14:textFill>
            <w14:solidFill>
              <w14:schemeClr w14:val="tx1"/>
            </w14:solidFill>
          </w14:textFill>
        </w:rPr>
        <w:fldChar w:fldCharType="begin"/>
      </w:r>
      <w:r>
        <w:rPr>
          <w:rFonts w:hint="eastAsia" w:ascii="宋体" w:hAnsi="宋体" w:eastAsia="宋体" w:cs="宋体"/>
          <w:b/>
          <w:bCs/>
          <w:color w:val="000000" w:themeColor="text1"/>
          <w:szCs w:val="40"/>
          <w:lang w:val="en-US" w:eastAsia="zh-CN"/>
          <w14:textFill>
            <w14:solidFill>
              <w14:schemeClr w14:val="tx1"/>
            </w14:solidFill>
          </w14:textFill>
        </w:rPr>
        <w:instrText xml:space="preserve"> PAGEREF _Toc7487 \h </w:instrText>
      </w:r>
      <w:r>
        <w:rPr>
          <w:rFonts w:hint="eastAsia" w:ascii="宋体" w:hAnsi="宋体" w:eastAsia="宋体" w:cs="宋体"/>
          <w:b/>
          <w:bCs/>
          <w:color w:val="000000" w:themeColor="text1"/>
          <w:szCs w:val="40"/>
          <w:lang w:val="en-US" w:eastAsia="zh-CN"/>
          <w14:textFill>
            <w14:solidFill>
              <w14:schemeClr w14:val="tx1"/>
            </w14:solidFill>
          </w14:textFill>
        </w:rPr>
        <w:fldChar w:fldCharType="separate"/>
      </w:r>
      <w:r>
        <w:rPr>
          <w:rFonts w:hint="eastAsia" w:ascii="宋体" w:hAnsi="宋体" w:eastAsia="宋体" w:cs="宋体"/>
          <w:b/>
          <w:bCs/>
          <w:color w:val="000000" w:themeColor="text1"/>
          <w:szCs w:val="40"/>
          <w:lang w:val="en-US" w:eastAsia="zh-CN"/>
          <w14:textFill>
            <w14:solidFill>
              <w14:schemeClr w14:val="tx1"/>
            </w14:solidFill>
          </w14:textFill>
        </w:rPr>
        <w:t>7</w:t>
      </w:r>
      <w:r>
        <w:rPr>
          <w:rFonts w:hint="eastAsia" w:ascii="宋体" w:hAnsi="宋体" w:eastAsia="宋体" w:cs="宋体"/>
          <w:b/>
          <w:bCs/>
          <w:color w:val="000000" w:themeColor="text1"/>
          <w:szCs w:val="40"/>
          <w:lang w:val="en-US" w:eastAsia="zh-CN"/>
          <w14:textFill>
            <w14:solidFill>
              <w14:schemeClr w14:val="tx1"/>
            </w14:solidFill>
          </w14:textFill>
        </w:rPr>
        <w:fldChar w:fldCharType="end"/>
      </w:r>
      <w:r>
        <w:rPr>
          <w:rFonts w:hint="eastAsia" w:ascii="宋体" w:hAnsi="宋体" w:eastAsia="宋体" w:cs="宋体"/>
          <w:b/>
          <w:bCs/>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_Toc9030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bCs w:val="0"/>
          <w:color w:val="000000" w:themeColor="text1"/>
          <w:szCs w:val="24"/>
          <w14:textFill>
            <w14:solidFill>
              <w14:schemeClr w14:val="tx1"/>
            </w14:solidFill>
          </w14:textFill>
        </w:rPr>
        <w:t>一、谈判费用</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_Toc9030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_Toc30769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bCs w:val="0"/>
          <w:color w:val="000000" w:themeColor="text1"/>
          <w:szCs w:val="24"/>
          <w14:textFill>
            <w14:solidFill>
              <w14:schemeClr w14:val="tx1"/>
            </w14:solidFill>
          </w14:textFill>
        </w:rPr>
        <w:t>二、竞争性谈判文件</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_Toc30769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_Toc24222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bCs w:val="0"/>
          <w:color w:val="000000" w:themeColor="text1"/>
          <w:szCs w:val="24"/>
          <w14:textFill>
            <w14:solidFill>
              <w14:schemeClr w14:val="tx1"/>
            </w14:solidFill>
          </w14:textFill>
        </w:rPr>
        <w:t>三、谈判要求</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_Toc24222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_Toc27966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bCs w:val="0"/>
          <w:color w:val="000000" w:themeColor="text1"/>
          <w:szCs w:val="24"/>
          <w14:textFill>
            <w14:solidFill>
              <w14:schemeClr w14:val="tx1"/>
            </w14:solidFill>
          </w14:textFill>
        </w:rPr>
        <w:t>四、谈判程序</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_Toc27966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_Toc26457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bCs w:val="0"/>
          <w:color w:val="000000" w:themeColor="text1"/>
          <w:szCs w:val="24"/>
          <w14:textFill>
            <w14:solidFill>
              <w14:schemeClr w14:val="tx1"/>
            </w14:solidFill>
          </w14:textFill>
        </w:rPr>
        <w:t>五、评审依据</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_Toc26457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12</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_Toc1033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bCs w:val="0"/>
          <w:color w:val="000000" w:themeColor="text1"/>
          <w:szCs w:val="24"/>
          <w14:textFill>
            <w14:solidFill>
              <w14:schemeClr w14:val="tx1"/>
            </w14:solidFill>
          </w14:textFill>
        </w:rPr>
        <w:t>六、成交原则</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_Toc1033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12</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_Toc22055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bCs w:val="0"/>
          <w:color w:val="000000" w:themeColor="text1"/>
          <w:szCs w:val="24"/>
          <w14:textFill>
            <w14:solidFill>
              <w14:schemeClr w14:val="tx1"/>
            </w14:solidFill>
          </w14:textFill>
        </w:rPr>
        <w:t>七、成交通知</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_Toc22055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_Toc19378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bCs w:val="0"/>
          <w:color w:val="000000" w:themeColor="text1"/>
          <w:szCs w:val="24"/>
          <w14:textFill>
            <w14:solidFill>
              <w14:schemeClr w14:val="tx1"/>
            </w14:solidFill>
          </w14:textFill>
        </w:rPr>
        <w:t>八、关于质疑和投诉</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_Toc19378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_Toc14866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九、签订合同</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_Toc14866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5"/>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b/>
          <w:bCs/>
          <w:color w:val="000000" w:themeColor="text1"/>
          <w:szCs w:val="40"/>
          <w:lang w:val="en-US" w:eastAsia="zh-CN"/>
          <w14:textFill>
            <w14:solidFill>
              <w14:schemeClr w14:val="tx1"/>
            </w14:solidFill>
          </w14:textFill>
        </w:rPr>
      </w:pPr>
      <w:r>
        <w:rPr>
          <w:rFonts w:hint="eastAsia" w:ascii="宋体" w:hAnsi="宋体" w:eastAsia="宋体" w:cs="宋体"/>
          <w:b/>
          <w:bCs/>
          <w:color w:val="000000" w:themeColor="text1"/>
          <w:szCs w:val="40"/>
          <w:lang w:val="en-US" w:eastAsia="zh-CN"/>
          <w14:textFill>
            <w14:solidFill>
              <w14:schemeClr w14:val="tx1"/>
            </w14:solidFill>
          </w14:textFill>
        </w:rPr>
        <w:fldChar w:fldCharType="begin"/>
      </w:r>
      <w:r>
        <w:rPr>
          <w:rFonts w:hint="eastAsia" w:ascii="宋体" w:hAnsi="宋体" w:eastAsia="宋体" w:cs="宋体"/>
          <w:b/>
          <w:bCs/>
          <w:color w:val="000000" w:themeColor="text1"/>
          <w:szCs w:val="40"/>
          <w:lang w:val="en-US" w:eastAsia="zh-CN"/>
          <w14:textFill>
            <w14:solidFill>
              <w14:schemeClr w14:val="tx1"/>
            </w14:solidFill>
          </w14:textFill>
        </w:rPr>
        <w:instrText xml:space="preserve"> HYPERLINK \l _Toc2525 </w:instrText>
      </w:r>
      <w:r>
        <w:rPr>
          <w:rFonts w:hint="eastAsia" w:ascii="宋体" w:hAnsi="宋体" w:eastAsia="宋体" w:cs="宋体"/>
          <w:b/>
          <w:bCs/>
          <w:color w:val="000000" w:themeColor="text1"/>
          <w:szCs w:val="40"/>
          <w:lang w:val="en-US" w:eastAsia="zh-CN"/>
          <w14:textFill>
            <w14:solidFill>
              <w14:schemeClr w14:val="tx1"/>
            </w14:solidFill>
          </w14:textFill>
        </w:rPr>
        <w:fldChar w:fldCharType="separate"/>
      </w:r>
      <w:r>
        <w:rPr>
          <w:rFonts w:hint="eastAsia" w:ascii="宋体" w:hAnsi="宋体" w:eastAsia="宋体" w:cs="宋体"/>
          <w:b/>
          <w:bCs/>
          <w:color w:val="000000" w:themeColor="text1"/>
          <w:szCs w:val="40"/>
          <w:lang w:val="en-US" w:eastAsia="zh-CN"/>
          <w14:textFill>
            <w14:solidFill>
              <w14:schemeClr w14:val="tx1"/>
            </w14:solidFill>
          </w14:textFill>
        </w:rPr>
        <w:t>第三篇  谈判项目技术需求</w:t>
      </w:r>
      <w:r>
        <w:rPr>
          <w:rFonts w:hint="eastAsia" w:ascii="宋体" w:hAnsi="宋体" w:eastAsia="宋体" w:cs="宋体"/>
          <w:b/>
          <w:bCs/>
          <w:color w:val="000000" w:themeColor="text1"/>
          <w:szCs w:val="40"/>
          <w:lang w:val="en-US" w:eastAsia="zh-CN"/>
          <w14:textFill>
            <w14:solidFill>
              <w14:schemeClr w14:val="tx1"/>
            </w14:solidFill>
          </w14:textFill>
        </w:rPr>
        <w:tab/>
      </w:r>
      <w:r>
        <w:rPr>
          <w:rFonts w:hint="eastAsia" w:ascii="宋体" w:hAnsi="宋体" w:eastAsia="宋体" w:cs="宋体"/>
          <w:b/>
          <w:bCs/>
          <w:color w:val="000000" w:themeColor="text1"/>
          <w:szCs w:val="40"/>
          <w:lang w:val="en-US" w:eastAsia="zh-CN"/>
          <w14:textFill>
            <w14:solidFill>
              <w14:schemeClr w14:val="tx1"/>
            </w14:solidFill>
          </w14:textFill>
        </w:rPr>
        <w:fldChar w:fldCharType="begin"/>
      </w:r>
      <w:r>
        <w:rPr>
          <w:rFonts w:hint="eastAsia" w:ascii="宋体" w:hAnsi="宋体" w:eastAsia="宋体" w:cs="宋体"/>
          <w:b/>
          <w:bCs/>
          <w:color w:val="000000" w:themeColor="text1"/>
          <w:szCs w:val="40"/>
          <w:lang w:val="en-US" w:eastAsia="zh-CN"/>
          <w14:textFill>
            <w14:solidFill>
              <w14:schemeClr w14:val="tx1"/>
            </w14:solidFill>
          </w14:textFill>
        </w:rPr>
        <w:instrText xml:space="preserve"> PAGEREF _Toc2525 \h </w:instrText>
      </w:r>
      <w:r>
        <w:rPr>
          <w:rFonts w:hint="eastAsia" w:ascii="宋体" w:hAnsi="宋体" w:eastAsia="宋体" w:cs="宋体"/>
          <w:b/>
          <w:bCs/>
          <w:color w:val="000000" w:themeColor="text1"/>
          <w:szCs w:val="40"/>
          <w:lang w:val="en-US" w:eastAsia="zh-CN"/>
          <w14:textFill>
            <w14:solidFill>
              <w14:schemeClr w14:val="tx1"/>
            </w14:solidFill>
          </w14:textFill>
        </w:rPr>
        <w:fldChar w:fldCharType="separate"/>
      </w:r>
      <w:r>
        <w:rPr>
          <w:rFonts w:hint="eastAsia" w:ascii="宋体" w:hAnsi="宋体" w:eastAsia="宋体" w:cs="宋体"/>
          <w:b/>
          <w:bCs/>
          <w:color w:val="000000" w:themeColor="text1"/>
          <w:szCs w:val="40"/>
          <w:lang w:val="en-US" w:eastAsia="zh-CN"/>
          <w14:textFill>
            <w14:solidFill>
              <w14:schemeClr w14:val="tx1"/>
            </w14:solidFill>
          </w14:textFill>
        </w:rPr>
        <w:t>18</w:t>
      </w:r>
      <w:r>
        <w:rPr>
          <w:rFonts w:hint="eastAsia" w:ascii="宋体" w:hAnsi="宋体" w:eastAsia="宋体" w:cs="宋体"/>
          <w:b/>
          <w:bCs/>
          <w:color w:val="000000" w:themeColor="text1"/>
          <w:szCs w:val="40"/>
          <w:lang w:val="en-US" w:eastAsia="zh-CN"/>
          <w14:textFill>
            <w14:solidFill>
              <w14:schemeClr w14:val="tx1"/>
            </w14:solidFill>
          </w14:textFill>
        </w:rPr>
        <w:fldChar w:fldCharType="end"/>
      </w:r>
      <w:r>
        <w:rPr>
          <w:rFonts w:hint="eastAsia" w:ascii="宋体" w:hAnsi="宋体" w:eastAsia="宋体" w:cs="宋体"/>
          <w:b/>
          <w:bCs/>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_Toc29158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lang w:eastAsia="zh-CN"/>
          <w14:textFill>
            <w14:solidFill>
              <w14:schemeClr w14:val="tx1"/>
            </w14:solidFill>
          </w14:textFill>
        </w:rPr>
        <w:t>一、项目概况</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_Toc29158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_Toc31481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lang w:eastAsia="zh-CN"/>
          <w14:textFill>
            <w14:solidFill>
              <w14:schemeClr w14:val="tx1"/>
            </w14:solidFill>
          </w14:textFill>
        </w:rPr>
        <w:t>二、</w:t>
      </w:r>
      <w:r>
        <w:rPr>
          <w:rFonts w:hint="eastAsia" w:ascii="宋体" w:hAnsi="宋体" w:eastAsia="宋体" w:cs="宋体"/>
          <w:color w:val="000000" w:themeColor="text1"/>
          <w:szCs w:val="24"/>
          <w14:textFill>
            <w14:solidFill>
              <w14:schemeClr w14:val="tx1"/>
            </w14:solidFill>
          </w14:textFill>
        </w:rPr>
        <w:t>主要设备技术需求</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_Toc31481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18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_Toc1509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lang w:val="en-US" w:eastAsia="zh-CN"/>
          <w14:textFill>
            <w14:solidFill>
              <w14:schemeClr w14:val="tx1"/>
            </w14:solidFill>
          </w14:textFill>
        </w:rPr>
        <w:t>三、技术标准及规范要求</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_Toc1509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_Toc30119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lang w:val="en-US" w:eastAsia="zh-CN"/>
          <w14:textFill>
            <w14:solidFill>
              <w14:schemeClr w14:val="tx1"/>
            </w14:solidFill>
          </w14:textFill>
        </w:rPr>
        <w:t>四、其他要求</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_Toc30119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27</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5"/>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b/>
          <w:bCs/>
          <w:color w:val="000000" w:themeColor="text1"/>
          <w:szCs w:val="40"/>
          <w:lang w:val="en-US" w:eastAsia="zh-CN"/>
          <w14:textFill>
            <w14:solidFill>
              <w14:schemeClr w14:val="tx1"/>
            </w14:solidFill>
          </w14:textFill>
        </w:rPr>
      </w:pPr>
      <w:r>
        <w:rPr>
          <w:rFonts w:hint="eastAsia" w:ascii="宋体" w:hAnsi="宋体" w:eastAsia="宋体" w:cs="宋体"/>
          <w:b/>
          <w:bCs/>
          <w:color w:val="000000" w:themeColor="text1"/>
          <w:szCs w:val="40"/>
          <w:lang w:val="en-US" w:eastAsia="zh-CN"/>
          <w14:textFill>
            <w14:solidFill>
              <w14:schemeClr w14:val="tx1"/>
            </w14:solidFill>
          </w14:textFill>
        </w:rPr>
        <w:fldChar w:fldCharType="begin"/>
      </w:r>
      <w:r>
        <w:rPr>
          <w:rFonts w:hint="eastAsia" w:ascii="宋体" w:hAnsi="宋体" w:eastAsia="宋体" w:cs="宋体"/>
          <w:b/>
          <w:bCs/>
          <w:color w:val="000000" w:themeColor="text1"/>
          <w:szCs w:val="40"/>
          <w:lang w:val="en-US" w:eastAsia="zh-CN"/>
          <w14:textFill>
            <w14:solidFill>
              <w14:schemeClr w14:val="tx1"/>
            </w14:solidFill>
          </w14:textFill>
        </w:rPr>
        <w:instrText xml:space="preserve"> HYPERLINK \l _Toc11269 </w:instrText>
      </w:r>
      <w:r>
        <w:rPr>
          <w:rFonts w:hint="eastAsia" w:ascii="宋体" w:hAnsi="宋体" w:eastAsia="宋体" w:cs="宋体"/>
          <w:b/>
          <w:bCs/>
          <w:color w:val="000000" w:themeColor="text1"/>
          <w:szCs w:val="40"/>
          <w:lang w:val="en-US" w:eastAsia="zh-CN"/>
          <w14:textFill>
            <w14:solidFill>
              <w14:schemeClr w14:val="tx1"/>
            </w14:solidFill>
          </w14:textFill>
        </w:rPr>
        <w:fldChar w:fldCharType="separate"/>
      </w:r>
      <w:r>
        <w:rPr>
          <w:rFonts w:hint="eastAsia" w:ascii="宋体" w:hAnsi="宋体" w:eastAsia="宋体" w:cs="宋体"/>
          <w:b/>
          <w:bCs/>
          <w:color w:val="000000" w:themeColor="text1"/>
          <w:szCs w:val="40"/>
          <w:lang w:val="en-US" w:eastAsia="zh-CN"/>
          <w14:textFill>
            <w14:solidFill>
              <w14:schemeClr w14:val="tx1"/>
            </w14:solidFill>
          </w14:textFill>
        </w:rPr>
        <w:t>第四篇  谈判项目商务需求</w:t>
      </w:r>
      <w:r>
        <w:rPr>
          <w:rFonts w:hint="eastAsia" w:ascii="宋体" w:hAnsi="宋体" w:eastAsia="宋体" w:cs="宋体"/>
          <w:b/>
          <w:bCs/>
          <w:color w:val="000000" w:themeColor="text1"/>
          <w:szCs w:val="40"/>
          <w:lang w:val="en-US" w:eastAsia="zh-CN"/>
          <w14:textFill>
            <w14:solidFill>
              <w14:schemeClr w14:val="tx1"/>
            </w14:solidFill>
          </w14:textFill>
        </w:rPr>
        <w:tab/>
      </w:r>
      <w:r>
        <w:rPr>
          <w:rFonts w:hint="eastAsia" w:ascii="宋体" w:hAnsi="宋体" w:eastAsia="宋体" w:cs="宋体"/>
          <w:b/>
          <w:bCs/>
          <w:color w:val="000000" w:themeColor="text1"/>
          <w:szCs w:val="40"/>
          <w:lang w:val="en-US" w:eastAsia="zh-CN"/>
          <w14:textFill>
            <w14:solidFill>
              <w14:schemeClr w14:val="tx1"/>
            </w14:solidFill>
          </w14:textFill>
        </w:rPr>
        <w:fldChar w:fldCharType="begin"/>
      </w:r>
      <w:r>
        <w:rPr>
          <w:rFonts w:hint="eastAsia" w:ascii="宋体" w:hAnsi="宋体" w:eastAsia="宋体" w:cs="宋体"/>
          <w:b/>
          <w:bCs/>
          <w:color w:val="000000" w:themeColor="text1"/>
          <w:szCs w:val="40"/>
          <w:lang w:val="en-US" w:eastAsia="zh-CN"/>
          <w14:textFill>
            <w14:solidFill>
              <w14:schemeClr w14:val="tx1"/>
            </w14:solidFill>
          </w14:textFill>
        </w:rPr>
        <w:instrText xml:space="preserve"> PAGEREF _Toc11269 \h </w:instrText>
      </w:r>
      <w:r>
        <w:rPr>
          <w:rFonts w:hint="eastAsia" w:ascii="宋体" w:hAnsi="宋体" w:eastAsia="宋体" w:cs="宋体"/>
          <w:b/>
          <w:bCs/>
          <w:color w:val="000000" w:themeColor="text1"/>
          <w:szCs w:val="40"/>
          <w:lang w:val="en-US" w:eastAsia="zh-CN"/>
          <w14:textFill>
            <w14:solidFill>
              <w14:schemeClr w14:val="tx1"/>
            </w14:solidFill>
          </w14:textFill>
        </w:rPr>
        <w:fldChar w:fldCharType="separate"/>
      </w:r>
      <w:r>
        <w:rPr>
          <w:rFonts w:hint="eastAsia" w:ascii="宋体" w:hAnsi="宋体" w:eastAsia="宋体" w:cs="宋体"/>
          <w:b/>
          <w:bCs/>
          <w:color w:val="000000" w:themeColor="text1"/>
          <w:szCs w:val="40"/>
          <w:lang w:val="en-US" w:eastAsia="zh-CN"/>
          <w14:textFill>
            <w14:solidFill>
              <w14:schemeClr w14:val="tx1"/>
            </w14:solidFill>
          </w14:textFill>
        </w:rPr>
        <w:t>29</w:t>
      </w:r>
      <w:r>
        <w:rPr>
          <w:rFonts w:hint="eastAsia" w:ascii="宋体" w:hAnsi="宋体" w:eastAsia="宋体" w:cs="宋体"/>
          <w:b/>
          <w:bCs/>
          <w:color w:val="000000" w:themeColor="text1"/>
          <w:szCs w:val="40"/>
          <w:lang w:val="en-US" w:eastAsia="zh-CN"/>
          <w14:textFill>
            <w14:solidFill>
              <w14:schemeClr w14:val="tx1"/>
            </w14:solidFill>
          </w14:textFill>
        </w:rPr>
        <w:fldChar w:fldCharType="end"/>
      </w:r>
      <w:r>
        <w:rPr>
          <w:rFonts w:hint="eastAsia" w:ascii="宋体" w:hAnsi="宋体" w:eastAsia="宋体" w:cs="宋体"/>
          <w:b/>
          <w:bCs/>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_Toc4719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lang w:val="en-US" w:eastAsia="zh-CN"/>
          <w14:textFill>
            <w14:solidFill>
              <w14:schemeClr w14:val="tx1"/>
            </w14:solidFill>
          </w14:textFill>
        </w:rPr>
        <w:t>一、工期要求、实施地点、质量要求及验收方式</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_Toc4719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29</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_Toc13138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lang w:val="en-US" w:eastAsia="zh-CN"/>
          <w14:textFill>
            <w14:solidFill>
              <w14:schemeClr w14:val="tx1"/>
            </w14:solidFill>
          </w14:textFill>
        </w:rPr>
        <w:t>二、 质量要求及售后服务</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_Toc13138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_Toc16947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lang w:val="en-US" w:eastAsia="zh-CN"/>
          <w14:textFill>
            <w14:solidFill>
              <w14:schemeClr w14:val="tx1"/>
            </w14:solidFill>
          </w14:textFill>
        </w:rPr>
        <w:t>三、谈判报价的修正</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_Toc16947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_Toc14120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lang w:val="en-US" w:eastAsia="zh-CN"/>
          <w14:textFill>
            <w14:solidFill>
              <w14:schemeClr w14:val="tx1"/>
            </w14:solidFill>
          </w14:textFill>
        </w:rPr>
        <w:t>四、履约担保</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_Toc14120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_Toc20717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lang w:val="en-US" w:eastAsia="zh-CN"/>
          <w14:textFill>
            <w14:solidFill>
              <w14:schemeClr w14:val="tx1"/>
            </w14:solidFill>
          </w14:textFill>
        </w:rPr>
        <w:t>五、付款方式</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_Toc20717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_Toc16732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lang w:val="en-US" w:eastAsia="zh-CN"/>
          <w14:textFill>
            <w14:solidFill>
              <w14:schemeClr w14:val="tx1"/>
            </w14:solidFill>
          </w14:textFill>
        </w:rPr>
        <w:t>六、低价风险担保（若有）</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_Toc16732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_Toc32712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lang w:val="en-US" w:eastAsia="zh-CN"/>
          <w14:textFill>
            <w14:solidFill>
              <w14:schemeClr w14:val="tx1"/>
            </w14:solidFill>
          </w14:textFill>
        </w:rPr>
        <w:t>七、知识产权</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_Toc32712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31</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_Toc31374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lang w:val="en-US" w:eastAsia="zh-CN"/>
          <w14:textFill>
            <w14:solidFill>
              <w14:schemeClr w14:val="tx1"/>
            </w14:solidFill>
          </w14:textFill>
        </w:rPr>
        <w:t>八、其他要求</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_Toc31374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32</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5"/>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b/>
          <w:bCs/>
          <w:color w:val="000000" w:themeColor="text1"/>
          <w:szCs w:val="40"/>
          <w:lang w:val="en-US" w:eastAsia="zh-CN"/>
          <w14:textFill>
            <w14:solidFill>
              <w14:schemeClr w14:val="tx1"/>
            </w14:solidFill>
          </w14:textFill>
        </w:rPr>
      </w:pPr>
      <w:r>
        <w:rPr>
          <w:rFonts w:hint="eastAsia" w:ascii="宋体" w:hAnsi="宋体" w:eastAsia="宋体" w:cs="宋体"/>
          <w:b/>
          <w:bCs/>
          <w:color w:val="000000" w:themeColor="text1"/>
          <w:szCs w:val="40"/>
          <w:lang w:val="en-US" w:eastAsia="zh-CN"/>
          <w14:textFill>
            <w14:solidFill>
              <w14:schemeClr w14:val="tx1"/>
            </w14:solidFill>
          </w14:textFill>
        </w:rPr>
        <w:fldChar w:fldCharType="begin"/>
      </w:r>
      <w:r>
        <w:rPr>
          <w:rFonts w:hint="eastAsia" w:ascii="宋体" w:hAnsi="宋体" w:eastAsia="宋体" w:cs="宋体"/>
          <w:b/>
          <w:bCs/>
          <w:color w:val="000000" w:themeColor="text1"/>
          <w:szCs w:val="40"/>
          <w:lang w:val="en-US" w:eastAsia="zh-CN"/>
          <w14:textFill>
            <w14:solidFill>
              <w14:schemeClr w14:val="tx1"/>
            </w14:solidFill>
          </w14:textFill>
        </w:rPr>
        <w:instrText xml:space="preserve"> HYPERLINK \l _Toc30864 </w:instrText>
      </w:r>
      <w:r>
        <w:rPr>
          <w:rFonts w:hint="eastAsia" w:ascii="宋体" w:hAnsi="宋体" w:eastAsia="宋体" w:cs="宋体"/>
          <w:b/>
          <w:bCs/>
          <w:color w:val="000000" w:themeColor="text1"/>
          <w:szCs w:val="40"/>
          <w:lang w:val="en-US" w:eastAsia="zh-CN"/>
          <w14:textFill>
            <w14:solidFill>
              <w14:schemeClr w14:val="tx1"/>
            </w14:solidFill>
          </w14:textFill>
        </w:rPr>
        <w:fldChar w:fldCharType="separate"/>
      </w:r>
      <w:r>
        <w:rPr>
          <w:rFonts w:hint="eastAsia" w:ascii="宋体" w:hAnsi="宋体" w:eastAsia="宋体" w:cs="宋体"/>
          <w:b/>
          <w:bCs/>
          <w:color w:val="000000" w:themeColor="text1"/>
          <w:szCs w:val="40"/>
          <w:lang w:val="en-US" w:eastAsia="zh-CN"/>
          <w14:textFill>
            <w14:solidFill>
              <w14:schemeClr w14:val="tx1"/>
            </w14:solidFill>
          </w14:textFill>
        </w:rPr>
        <w:t>第五篇  合同草案条款</w:t>
      </w:r>
      <w:r>
        <w:rPr>
          <w:rFonts w:hint="eastAsia" w:ascii="宋体" w:hAnsi="宋体" w:eastAsia="宋体" w:cs="宋体"/>
          <w:b/>
          <w:bCs/>
          <w:color w:val="000000" w:themeColor="text1"/>
          <w:szCs w:val="40"/>
          <w:lang w:val="en-US" w:eastAsia="zh-CN"/>
          <w14:textFill>
            <w14:solidFill>
              <w14:schemeClr w14:val="tx1"/>
            </w14:solidFill>
          </w14:textFill>
        </w:rPr>
        <w:tab/>
      </w:r>
      <w:r>
        <w:rPr>
          <w:rFonts w:hint="eastAsia" w:ascii="宋体" w:hAnsi="宋体" w:eastAsia="宋体" w:cs="宋体"/>
          <w:b/>
          <w:bCs/>
          <w:color w:val="000000" w:themeColor="text1"/>
          <w:szCs w:val="40"/>
          <w:lang w:val="en-US" w:eastAsia="zh-CN"/>
          <w14:textFill>
            <w14:solidFill>
              <w14:schemeClr w14:val="tx1"/>
            </w14:solidFill>
          </w14:textFill>
        </w:rPr>
        <w:fldChar w:fldCharType="begin"/>
      </w:r>
      <w:r>
        <w:rPr>
          <w:rFonts w:hint="eastAsia" w:ascii="宋体" w:hAnsi="宋体" w:eastAsia="宋体" w:cs="宋体"/>
          <w:b/>
          <w:bCs/>
          <w:color w:val="000000" w:themeColor="text1"/>
          <w:szCs w:val="40"/>
          <w:lang w:val="en-US" w:eastAsia="zh-CN"/>
          <w14:textFill>
            <w14:solidFill>
              <w14:schemeClr w14:val="tx1"/>
            </w14:solidFill>
          </w14:textFill>
        </w:rPr>
        <w:instrText xml:space="preserve"> PAGEREF _Toc30864 \h </w:instrText>
      </w:r>
      <w:r>
        <w:rPr>
          <w:rFonts w:hint="eastAsia" w:ascii="宋体" w:hAnsi="宋体" w:eastAsia="宋体" w:cs="宋体"/>
          <w:b/>
          <w:bCs/>
          <w:color w:val="000000" w:themeColor="text1"/>
          <w:szCs w:val="40"/>
          <w:lang w:val="en-US" w:eastAsia="zh-CN"/>
          <w14:textFill>
            <w14:solidFill>
              <w14:schemeClr w14:val="tx1"/>
            </w14:solidFill>
          </w14:textFill>
        </w:rPr>
        <w:fldChar w:fldCharType="separate"/>
      </w:r>
      <w:r>
        <w:rPr>
          <w:rFonts w:hint="eastAsia" w:ascii="宋体" w:hAnsi="宋体" w:eastAsia="宋体" w:cs="宋体"/>
          <w:b/>
          <w:bCs/>
          <w:color w:val="000000" w:themeColor="text1"/>
          <w:szCs w:val="40"/>
          <w:lang w:val="en-US" w:eastAsia="zh-CN"/>
          <w14:textFill>
            <w14:solidFill>
              <w14:schemeClr w14:val="tx1"/>
            </w14:solidFill>
          </w14:textFill>
        </w:rPr>
        <w:t>33</w:t>
      </w:r>
      <w:r>
        <w:rPr>
          <w:rFonts w:hint="eastAsia" w:ascii="宋体" w:hAnsi="宋体" w:eastAsia="宋体" w:cs="宋体"/>
          <w:b/>
          <w:bCs/>
          <w:color w:val="000000" w:themeColor="text1"/>
          <w:szCs w:val="40"/>
          <w:lang w:val="en-US" w:eastAsia="zh-CN"/>
          <w14:textFill>
            <w14:solidFill>
              <w14:schemeClr w14:val="tx1"/>
            </w14:solidFill>
          </w14:textFill>
        </w:rPr>
        <w:fldChar w:fldCharType="end"/>
      </w:r>
      <w:r>
        <w:rPr>
          <w:rFonts w:hint="eastAsia" w:ascii="宋体" w:hAnsi="宋体" w:eastAsia="宋体" w:cs="宋体"/>
          <w:b/>
          <w:bCs/>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_Toc16957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采购购销合同</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_Toc16957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36</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5"/>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b/>
          <w:bCs/>
          <w:color w:val="000000" w:themeColor="text1"/>
          <w:szCs w:val="40"/>
          <w:lang w:val="en-US" w:eastAsia="zh-CN"/>
          <w14:textFill>
            <w14:solidFill>
              <w14:schemeClr w14:val="tx1"/>
            </w14:solidFill>
          </w14:textFill>
        </w:rPr>
      </w:pPr>
      <w:r>
        <w:rPr>
          <w:rFonts w:hint="eastAsia" w:ascii="宋体" w:hAnsi="宋体" w:eastAsia="宋体" w:cs="宋体"/>
          <w:b/>
          <w:bCs/>
          <w:color w:val="000000" w:themeColor="text1"/>
          <w:szCs w:val="40"/>
          <w:lang w:val="en-US" w:eastAsia="zh-CN"/>
          <w14:textFill>
            <w14:solidFill>
              <w14:schemeClr w14:val="tx1"/>
            </w14:solidFill>
          </w14:textFill>
        </w:rPr>
        <w:fldChar w:fldCharType="begin"/>
      </w:r>
      <w:r>
        <w:rPr>
          <w:rFonts w:hint="eastAsia" w:ascii="宋体" w:hAnsi="宋体" w:eastAsia="宋体" w:cs="宋体"/>
          <w:b/>
          <w:bCs/>
          <w:color w:val="000000" w:themeColor="text1"/>
          <w:szCs w:val="40"/>
          <w:lang w:val="en-US" w:eastAsia="zh-CN"/>
          <w14:textFill>
            <w14:solidFill>
              <w14:schemeClr w14:val="tx1"/>
            </w14:solidFill>
          </w14:textFill>
        </w:rPr>
        <w:instrText xml:space="preserve"> HYPERLINK \l _Toc11786 </w:instrText>
      </w:r>
      <w:r>
        <w:rPr>
          <w:rFonts w:hint="eastAsia" w:ascii="宋体" w:hAnsi="宋体" w:eastAsia="宋体" w:cs="宋体"/>
          <w:b/>
          <w:bCs/>
          <w:color w:val="000000" w:themeColor="text1"/>
          <w:szCs w:val="40"/>
          <w:lang w:val="en-US" w:eastAsia="zh-CN"/>
          <w14:textFill>
            <w14:solidFill>
              <w14:schemeClr w14:val="tx1"/>
            </w14:solidFill>
          </w14:textFill>
        </w:rPr>
        <w:fldChar w:fldCharType="separate"/>
      </w:r>
      <w:r>
        <w:rPr>
          <w:rFonts w:hint="eastAsia" w:ascii="宋体" w:hAnsi="宋体" w:eastAsia="宋体" w:cs="宋体"/>
          <w:b/>
          <w:bCs/>
          <w:color w:val="000000" w:themeColor="text1"/>
          <w:szCs w:val="40"/>
          <w:lang w:val="en-US" w:eastAsia="zh-CN"/>
          <w14:textFill>
            <w14:solidFill>
              <w14:schemeClr w14:val="tx1"/>
            </w14:solidFill>
          </w14:textFill>
        </w:rPr>
        <w:t>第六篇  响应文件编制要求</w:t>
      </w:r>
      <w:r>
        <w:rPr>
          <w:rFonts w:hint="eastAsia" w:ascii="宋体" w:hAnsi="宋体" w:eastAsia="宋体" w:cs="宋体"/>
          <w:b/>
          <w:bCs/>
          <w:color w:val="000000" w:themeColor="text1"/>
          <w:szCs w:val="40"/>
          <w:lang w:val="en-US" w:eastAsia="zh-CN"/>
          <w14:textFill>
            <w14:solidFill>
              <w14:schemeClr w14:val="tx1"/>
            </w14:solidFill>
          </w14:textFill>
        </w:rPr>
        <w:tab/>
      </w:r>
      <w:r>
        <w:rPr>
          <w:rFonts w:hint="eastAsia" w:ascii="宋体" w:hAnsi="宋体" w:eastAsia="宋体" w:cs="宋体"/>
          <w:b/>
          <w:bCs/>
          <w:color w:val="000000" w:themeColor="text1"/>
          <w:szCs w:val="40"/>
          <w:lang w:val="en-US" w:eastAsia="zh-CN"/>
          <w14:textFill>
            <w14:solidFill>
              <w14:schemeClr w14:val="tx1"/>
            </w14:solidFill>
          </w14:textFill>
        </w:rPr>
        <w:fldChar w:fldCharType="begin"/>
      </w:r>
      <w:r>
        <w:rPr>
          <w:rFonts w:hint="eastAsia" w:ascii="宋体" w:hAnsi="宋体" w:eastAsia="宋体" w:cs="宋体"/>
          <w:b/>
          <w:bCs/>
          <w:color w:val="000000" w:themeColor="text1"/>
          <w:szCs w:val="40"/>
          <w:lang w:val="en-US" w:eastAsia="zh-CN"/>
          <w14:textFill>
            <w14:solidFill>
              <w14:schemeClr w14:val="tx1"/>
            </w14:solidFill>
          </w14:textFill>
        </w:rPr>
        <w:instrText xml:space="preserve"> PAGEREF _Toc11786 \h </w:instrText>
      </w:r>
      <w:r>
        <w:rPr>
          <w:rFonts w:hint="eastAsia" w:ascii="宋体" w:hAnsi="宋体" w:eastAsia="宋体" w:cs="宋体"/>
          <w:b/>
          <w:bCs/>
          <w:color w:val="000000" w:themeColor="text1"/>
          <w:szCs w:val="40"/>
          <w:lang w:val="en-US" w:eastAsia="zh-CN"/>
          <w14:textFill>
            <w14:solidFill>
              <w14:schemeClr w14:val="tx1"/>
            </w14:solidFill>
          </w14:textFill>
        </w:rPr>
        <w:fldChar w:fldCharType="separate"/>
      </w:r>
      <w:r>
        <w:rPr>
          <w:rFonts w:hint="eastAsia" w:ascii="宋体" w:hAnsi="宋体" w:eastAsia="宋体" w:cs="宋体"/>
          <w:b/>
          <w:bCs/>
          <w:color w:val="000000" w:themeColor="text1"/>
          <w:szCs w:val="40"/>
          <w:lang w:val="en-US" w:eastAsia="zh-CN"/>
          <w14:textFill>
            <w14:solidFill>
              <w14:schemeClr w14:val="tx1"/>
            </w14:solidFill>
          </w14:textFill>
        </w:rPr>
        <w:t>38</w:t>
      </w:r>
      <w:r>
        <w:rPr>
          <w:rFonts w:hint="eastAsia" w:ascii="宋体" w:hAnsi="宋体" w:eastAsia="宋体" w:cs="宋体"/>
          <w:b/>
          <w:bCs/>
          <w:color w:val="000000" w:themeColor="text1"/>
          <w:szCs w:val="40"/>
          <w:lang w:val="en-US" w:eastAsia="zh-CN"/>
          <w14:textFill>
            <w14:solidFill>
              <w14:schemeClr w14:val="tx1"/>
            </w14:solidFill>
          </w14:textFill>
        </w:rPr>
        <w:fldChar w:fldCharType="end"/>
      </w:r>
      <w:r>
        <w:rPr>
          <w:rFonts w:hint="eastAsia" w:ascii="宋体" w:hAnsi="宋体" w:eastAsia="宋体" w:cs="宋体"/>
          <w:b/>
          <w:bCs/>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_Toc5208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一、经济部分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_Toc5208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40</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_Toc6076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二、技术部分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_Toc6076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42</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_Toc4184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三、</w:t>
      </w:r>
      <w:r>
        <w:rPr>
          <w:rFonts w:hint="eastAsia" w:ascii="宋体" w:hAnsi="宋体" w:eastAsia="宋体" w:cs="宋体"/>
          <w:color w:val="000000" w:themeColor="text1"/>
          <w:szCs w:val="24"/>
          <w:lang w:eastAsia="zh-CN"/>
          <w14:textFill>
            <w14:solidFill>
              <w14:schemeClr w14:val="tx1"/>
            </w14:solidFill>
          </w14:textFill>
        </w:rPr>
        <w:t>商务</w:t>
      </w:r>
      <w:r>
        <w:rPr>
          <w:rFonts w:hint="eastAsia" w:ascii="宋体" w:hAnsi="宋体" w:eastAsia="宋体" w:cs="宋体"/>
          <w:color w:val="000000" w:themeColor="text1"/>
          <w:szCs w:val="24"/>
          <w14:textFill>
            <w14:solidFill>
              <w14:schemeClr w14:val="tx1"/>
            </w14:solidFill>
          </w14:textFill>
        </w:rPr>
        <w:t>部分</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_Toc4184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45</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_Toc27935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四、资格条件及其他</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_Toc27935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48</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keepNext w:val="0"/>
        <w:keepLines w:val="0"/>
        <w:pageBreakBefore w:val="0"/>
        <w:tabs>
          <w:tab w:val="right" w:leader="middleDot" w:pos="9412"/>
        </w:tabs>
        <w:kinsoku/>
        <w:wordWrap/>
        <w:overflowPunct/>
        <w:topLinePunct w:val="0"/>
        <w:autoSpaceDE/>
        <w:autoSpaceDN/>
        <w:bidi w:val="0"/>
        <w:adjustRightInd/>
        <w:snapToGrid/>
        <w:spacing w:line="460" w:lineRule="exact"/>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Cs w:val="40"/>
          <w:lang w:val="en-US" w:eastAsia="zh-CN"/>
          <w14:textFill>
            <w14:solidFill>
              <w14:schemeClr w14:val="tx1"/>
            </w14:solidFill>
          </w14:textFill>
        </w:rPr>
        <w:fldChar w:fldCharType="begin"/>
      </w:r>
      <w:r>
        <w:rPr>
          <w:rFonts w:hint="eastAsia" w:ascii="宋体" w:hAnsi="宋体" w:eastAsia="宋体" w:cs="宋体"/>
          <w:color w:val="000000" w:themeColor="text1"/>
          <w:szCs w:val="40"/>
          <w:lang w:val="en-US" w:eastAsia="zh-CN"/>
          <w14:textFill>
            <w14:solidFill>
              <w14:schemeClr w14:val="tx1"/>
            </w14:solidFill>
          </w14:textFill>
        </w:rPr>
        <w:instrText xml:space="preserve"> HYPERLINK \l _Toc22056 </w:instrText>
      </w:r>
      <w:r>
        <w:rPr>
          <w:rFonts w:hint="eastAsia" w:ascii="宋体" w:hAnsi="宋体" w:eastAsia="宋体" w:cs="宋体"/>
          <w:color w:val="000000" w:themeColor="text1"/>
          <w:szCs w:val="40"/>
          <w:lang w:val="en-US" w:eastAsia="zh-CN"/>
          <w14:textFill>
            <w14:solidFill>
              <w14:schemeClr w14:val="tx1"/>
            </w14:solidFill>
          </w14:textFill>
        </w:rPr>
        <w:fldChar w:fldCharType="separate"/>
      </w:r>
      <w:r>
        <w:rPr>
          <w:rFonts w:hint="eastAsia" w:ascii="宋体" w:hAnsi="宋体" w:eastAsia="宋体" w:cs="宋体"/>
          <w:color w:val="000000" w:themeColor="text1"/>
          <w:szCs w:val="24"/>
          <w14:textFill>
            <w14:solidFill>
              <w14:schemeClr w14:val="tx1"/>
            </w14:solidFill>
          </w14:textFill>
        </w:rPr>
        <w:t>五、其他应提供的资料</w:t>
      </w:r>
      <w:r>
        <w:rPr>
          <w:rFonts w:hint="eastAsia" w:ascii="宋体" w:hAnsi="宋体" w:eastAsia="宋体" w:cs="宋体"/>
          <w:color w:val="000000" w:themeColor="text1"/>
          <w14:textFill>
            <w14:solidFill>
              <w14:schemeClr w14:val="tx1"/>
            </w14:solidFill>
          </w14:textFill>
        </w:rPr>
        <w:tab/>
      </w:r>
      <w:r>
        <w:rPr>
          <w:rFonts w:hint="eastAsia" w:ascii="宋体" w:hAnsi="宋体" w:eastAsia="宋体" w:cs="宋体"/>
          <w:color w:val="000000" w:themeColor="text1"/>
          <w14:textFill>
            <w14:solidFill>
              <w14:schemeClr w14:val="tx1"/>
            </w14:solidFill>
          </w14:textFill>
        </w:rPr>
        <w:fldChar w:fldCharType="begin"/>
      </w:r>
      <w:r>
        <w:rPr>
          <w:rFonts w:hint="eastAsia" w:ascii="宋体" w:hAnsi="宋体" w:eastAsia="宋体" w:cs="宋体"/>
          <w:color w:val="000000" w:themeColor="text1"/>
          <w14:textFill>
            <w14:solidFill>
              <w14:schemeClr w14:val="tx1"/>
            </w14:solidFill>
          </w14:textFill>
        </w:rPr>
        <w:instrText xml:space="preserve"> PAGEREF _Toc22056 \h </w:instrText>
      </w:r>
      <w:r>
        <w:rPr>
          <w:rFonts w:hint="eastAsia" w:ascii="宋体" w:hAnsi="宋体" w:eastAsia="宋体" w:cs="宋体"/>
          <w:color w:val="000000" w:themeColor="text1"/>
          <w14:textFill>
            <w14:solidFill>
              <w14:schemeClr w14:val="tx1"/>
            </w14:solidFill>
          </w14:textFill>
        </w:rPr>
        <w:fldChar w:fldCharType="separate"/>
      </w:r>
      <w:r>
        <w:rPr>
          <w:rFonts w:hint="eastAsia" w:ascii="宋体" w:hAnsi="宋体" w:eastAsia="宋体" w:cs="宋体"/>
          <w:color w:val="000000" w:themeColor="text1"/>
          <w14:textFill>
            <w14:solidFill>
              <w14:schemeClr w14:val="tx1"/>
            </w14:solidFill>
          </w14:textFill>
        </w:rPr>
        <w:t>54</w:t>
      </w:r>
      <w:r>
        <w:rPr>
          <w:rFonts w:hint="eastAsia" w:ascii="宋体" w:hAnsi="宋体" w:eastAsia="宋体" w:cs="宋体"/>
          <w:color w:val="000000" w:themeColor="text1"/>
          <w14:textFill>
            <w14:solidFill>
              <w14:schemeClr w14:val="tx1"/>
            </w14:solidFill>
          </w14:textFill>
        </w:rPr>
        <w:fldChar w:fldCharType="end"/>
      </w: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2"/>
        <w:keepNext w:val="0"/>
        <w:keepLines w:val="0"/>
        <w:pageBreakBefore w:val="0"/>
        <w:tabs>
          <w:tab w:val="right" w:leader="dot" w:pos="9412"/>
        </w:tabs>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sectPr>
          <w:footerReference r:id="rId5" w:type="default"/>
          <w:pgSz w:w="11907" w:h="16840"/>
          <w:pgMar w:top="1134" w:right="1191" w:bottom="1134" w:left="1304" w:header="851" w:footer="992" w:gutter="0"/>
          <w:pgNumType w:fmt="decimal" w:start="1"/>
          <w:cols w:space="720" w:num="1"/>
          <w:docGrid w:linePitch="380" w:charSpace="-5735"/>
        </w:sectPr>
      </w:pPr>
      <w:r>
        <w:rPr>
          <w:rFonts w:hint="eastAsia" w:ascii="宋体" w:hAnsi="宋体" w:eastAsia="宋体" w:cs="宋体"/>
          <w:color w:val="000000" w:themeColor="text1"/>
          <w:szCs w:val="40"/>
          <w:lang w:val="en-US" w:eastAsia="zh-CN"/>
          <w14:textFill>
            <w14:solidFill>
              <w14:schemeClr w14:val="tx1"/>
            </w14:solidFill>
          </w14:textFill>
        </w:rPr>
        <w:fldChar w:fldCharType="end"/>
      </w:r>
    </w:p>
    <w:p>
      <w:pPr>
        <w:pStyle w:val="17"/>
        <w:tabs>
          <w:tab w:val="right" w:leader="dot" w:pos="9402"/>
        </w:tabs>
        <w:spacing w:line="480" w:lineRule="exact"/>
        <w:ind w:left="0" w:leftChars="0"/>
        <w:jc w:val="center"/>
        <w:outlineLvl w:val="0"/>
        <w:rPr>
          <w:rFonts w:hint="eastAsia" w:ascii="宋体" w:hAnsi="宋体" w:eastAsia="宋体" w:cs="宋体"/>
          <w:b/>
          <w:color w:val="000000" w:themeColor="text1"/>
          <w:szCs w:val="30"/>
          <w14:textFill>
            <w14:solidFill>
              <w14:schemeClr w14:val="tx1"/>
            </w14:solidFill>
          </w14:textFill>
        </w:rPr>
      </w:pPr>
      <w:bookmarkStart w:id="21" w:name="_Toc12789052"/>
      <w:bookmarkStart w:id="22" w:name="_Toc5869"/>
      <w:bookmarkStart w:id="23" w:name="_Toc31666"/>
      <w:bookmarkStart w:id="24" w:name="_Toc11641050"/>
      <w:bookmarkStart w:id="25" w:name="_Toc8212"/>
      <w:r>
        <w:rPr>
          <w:rFonts w:hint="eastAsia" w:ascii="宋体" w:hAnsi="宋体" w:eastAsia="宋体" w:cs="宋体"/>
          <w:b/>
          <w:color w:val="000000" w:themeColor="text1"/>
          <w:sz w:val="36"/>
          <w:szCs w:val="30"/>
          <w14:textFill>
            <w14:solidFill>
              <w14:schemeClr w14:val="tx1"/>
            </w14:solidFill>
          </w14:textFill>
        </w:rPr>
        <w:t>第一篇  竞争性谈判邀请书</w:t>
      </w:r>
      <w:bookmarkEnd w:id="21"/>
      <w:bookmarkEnd w:id="22"/>
      <w:bookmarkEnd w:id="23"/>
      <w:bookmarkEnd w:id="24"/>
      <w:bookmarkEnd w:id="25"/>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重庆优佳工程招标代理有限公司（以下简称：采购代理机构），</w:t>
      </w:r>
      <w:r>
        <w:rPr>
          <w:rFonts w:hint="eastAsia" w:ascii="宋体" w:hAnsi="宋体" w:eastAsia="宋体" w:cs="宋体"/>
          <w:color w:val="000000" w:themeColor="text1"/>
          <w:sz w:val="24"/>
          <w:szCs w:val="24"/>
          <w:lang w:eastAsia="zh-CN"/>
          <w14:textFill>
            <w14:solidFill>
              <w14:schemeClr w14:val="tx1"/>
            </w14:solidFill>
          </w14:textFill>
        </w:rPr>
        <w:t>接</w:t>
      </w:r>
      <w:r>
        <w:rPr>
          <w:rFonts w:hint="eastAsia" w:ascii="宋体" w:hAnsi="宋体" w:eastAsia="宋体" w:cs="宋体"/>
          <w:color w:val="000000" w:themeColor="text1"/>
          <w:sz w:val="24"/>
          <w:szCs w:val="24"/>
          <w14:textFill>
            <w14:solidFill>
              <w14:schemeClr w14:val="tx1"/>
            </w14:solidFill>
          </w14:textFill>
        </w:rPr>
        <w:t>受</w:t>
      </w:r>
      <w:r>
        <w:rPr>
          <w:rFonts w:hint="eastAsia" w:ascii="宋体" w:hAnsi="宋体" w:eastAsia="宋体" w:cs="宋体"/>
          <w:color w:val="000000" w:themeColor="text1"/>
          <w:sz w:val="24"/>
          <w:szCs w:val="24"/>
          <w:lang w:eastAsia="zh-CN"/>
          <w14:textFill>
            <w14:solidFill>
              <w14:schemeClr w14:val="tx1"/>
            </w14:solidFill>
          </w14:textFill>
        </w:rPr>
        <w:t>重庆市荣昌区人民医院（以下简称：采购人）</w:t>
      </w:r>
      <w:r>
        <w:rPr>
          <w:rFonts w:hint="eastAsia" w:ascii="宋体" w:hAnsi="宋体" w:eastAsia="宋体" w:cs="宋体"/>
          <w:color w:val="000000" w:themeColor="text1"/>
          <w:sz w:val="24"/>
          <w:szCs w:val="24"/>
          <w14:textFill>
            <w14:solidFill>
              <w14:schemeClr w14:val="tx1"/>
            </w14:solidFill>
          </w14:textFill>
        </w:rPr>
        <w:t>的委托，对荣昌区人民医院</w:t>
      </w:r>
      <w:r>
        <w:rPr>
          <w:rFonts w:hint="eastAsia" w:ascii="宋体" w:hAnsi="宋体" w:eastAsia="宋体" w:cs="宋体"/>
          <w:color w:val="000000" w:themeColor="text1"/>
          <w:sz w:val="24"/>
          <w:szCs w:val="24"/>
          <w:lang w:eastAsia="zh-CN"/>
          <w14:textFill>
            <w14:solidFill>
              <w14:schemeClr w14:val="tx1"/>
            </w14:solidFill>
          </w14:textFill>
        </w:rPr>
        <w:t>门诊弱电改造项目</w:t>
      </w:r>
      <w:r>
        <w:rPr>
          <w:rFonts w:hint="eastAsia" w:ascii="宋体" w:hAnsi="宋体" w:eastAsia="宋体" w:cs="宋体"/>
          <w:color w:val="000000" w:themeColor="text1"/>
          <w:sz w:val="24"/>
          <w:szCs w:val="24"/>
          <w14:textFill>
            <w14:solidFill>
              <w14:schemeClr w14:val="tx1"/>
            </w14:solidFill>
          </w14:textFill>
        </w:rPr>
        <w:t>进行竞争性谈判采购。欢迎有资格的供应商前来参加谈判。</w:t>
      </w:r>
      <w:bookmarkStart w:id="26" w:name="_Toc317775175"/>
      <w:bookmarkStart w:id="27" w:name="_Toc17716"/>
      <w:bookmarkStart w:id="28" w:name="_Toc313893526"/>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29" w:name="_Toc24895"/>
      <w:bookmarkStart w:id="30" w:name="_Toc19621"/>
      <w:r>
        <w:rPr>
          <w:rFonts w:hint="eastAsia" w:ascii="宋体" w:hAnsi="宋体" w:eastAsia="宋体" w:cs="宋体"/>
          <w:b/>
          <w:bCs w:val="0"/>
          <w:color w:val="000000" w:themeColor="text1"/>
          <w:sz w:val="24"/>
          <w:szCs w:val="24"/>
          <w14:textFill>
            <w14:solidFill>
              <w14:schemeClr w14:val="tx1"/>
            </w14:solidFill>
          </w14:textFill>
        </w:rPr>
        <w:t>一、竞争性谈判内容</w:t>
      </w:r>
      <w:bookmarkEnd w:id="26"/>
      <w:bookmarkEnd w:id="27"/>
      <w:bookmarkEnd w:id="28"/>
      <w:bookmarkEnd w:id="29"/>
      <w:bookmarkEnd w:id="30"/>
    </w:p>
    <w:tbl>
      <w:tblPr>
        <w:tblStyle w:val="20"/>
        <w:tblW w:w="96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2398"/>
        <w:gridCol w:w="1684"/>
        <w:gridCol w:w="1703"/>
        <w:gridCol w:w="2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1018"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分包号</w:t>
            </w:r>
          </w:p>
        </w:tc>
        <w:tc>
          <w:tcPr>
            <w:tcW w:w="2398"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分包名称</w:t>
            </w:r>
          </w:p>
        </w:tc>
        <w:tc>
          <w:tcPr>
            <w:tcW w:w="1684"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最高限价</w:t>
            </w:r>
          </w:p>
          <w:p>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（元）</w:t>
            </w:r>
          </w:p>
        </w:tc>
        <w:tc>
          <w:tcPr>
            <w:tcW w:w="1703"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保证金</w:t>
            </w:r>
          </w:p>
          <w:p>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（元）</w:t>
            </w:r>
          </w:p>
        </w:tc>
        <w:tc>
          <w:tcPr>
            <w:tcW w:w="286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10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ind w:firstLine="240" w:firstLineChars="1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bookmarkStart w:id="31" w:name="_Hlk344477914"/>
            <w:r>
              <w:rPr>
                <w:rFonts w:hint="eastAsia" w:ascii="宋体" w:hAnsi="宋体" w:eastAsia="宋体" w:cs="宋体"/>
                <w:color w:val="000000" w:themeColor="text1"/>
                <w:sz w:val="24"/>
                <w:szCs w:val="24"/>
                <w:lang w:val="en-US" w:eastAsia="zh-CN"/>
                <w14:textFill>
                  <w14:solidFill>
                    <w14:schemeClr w14:val="tx1"/>
                  </w14:solidFill>
                </w14:textFill>
              </w:rPr>
              <w:t>1</w:t>
            </w:r>
          </w:p>
        </w:tc>
        <w:tc>
          <w:tcPr>
            <w:tcW w:w="239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荣昌区人民医院门诊弱电改造项目</w:t>
            </w:r>
          </w:p>
        </w:tc>
        <w:tc>
          <w:tcPr>
            <w:tcW w:w="1684"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487588.55</w:t>
            </w:r>
          </w:p>
        </w:tc>
        <w:tc>
          <w:tcPr>
            <w:tcW w:w="1703"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9700</w:t>
            </w:r>
          </w:p>
        </w:tc>
        <w:tc>
          <w:tcPr>
            <w:tcW w:w="2865" w:type="dxa"/>
            <w:tcBorders>
              <w:top w:val="single" w:color="auto" w:sz="4" w:space="0"/>
              <w:left w:val="single" w:color="auto" w:sz="4" w:space="0"/>
              <w:right w:val="single" w:color="auto" w:sz="4" w:space="0"/>
            </w:tcBorders>
            <w:noWrap w:val="0"/>
            <w:vAlign w:val="center"/>
          </w:tcPr>
          <w:p>
            <w:pPr>
              <w:pageBreakBefore w:val="0"/>
              <w:widowControl w:val="0"/>
              <w:kinsoku/>
              <w:wordWrap/>
              <w:overflowPunct/>
              <w:topLinePunct w:val="0"/>
              <w:autoSpaceDE/>
              <w:autoSpaceDN/>
              <w:bidi w:val="0"/>
              <w:adjustRightInd/>
              <w:spacing w:line="440" w:lineRule="exact"/>
              <w:ind w:firstLine="240" w:firstLineChars="1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采购标的对应的中小企业划分标准所属行业为软件和信息技术服务业。</w:t>
            </w:r>
          </w:p>
        </w:tc>
      </w:tr>
      <w:bookmarkEnd w:id="31"/>
    </w:tbl>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32" w:name="_Toc373860293"/>
      <w:bookmarkStart w:id="33" w:name="_Toc317775178"/>
      <w:r>
        <w:rPr>
          <w:rFonts w:hint="eastAsia" w:ascii="宋体" w:hAnsi="宋体" w:eastAsia="宋体" w:cs="宋体"/>
          <w:color w:val="000000" w:themeColor="text1"/>
          <w:sz w:val="24"/>
          <w:szCs w:val="24"/>
          <w14:textFill>
            <w14:solidFill>
              <w14:schemeClr w14:val="tx1"/>
            </w14:solidFill>
          </w14:textFill>
        </w:rPr>
        <w:t>注：1、供应商公章以供应商单位法人公章为准，其他“业务章”、“专用章”等不得作为供应商公章使用；</w:t>
      </w:r>
    </w:p>
    <w:p>
      <w:pPr>
        <w:pageBreakBefore w:val="0"/>
        <w:widowControl w:val="0"/>
        <w:kinsoku/>
        <w:wordWrap/>
        <w:overflowPunct/>
        <w:topLinePunct w:val="0"/>
        <w:autoSpaceDE/>
        <w:autoSpaceDN/>
        <w:bidi w:val="0"/>
        <w:adjustRightInd/>
        <w:snapToGrid w:val="0"/>
        <w:spacing w:line="440" w:lineRule="exact"/>
        <w:ind w:firstLine="960" w:firstLineChars="4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材料产品质量必须符合国标标准</w:t>
      </w:r>
      <w:r>
        <w:rPr>
          <w:rFonts w:hint="eastAsia" w:ascii="宋体" w:hAnsi="宋体" w:eastAsia="宋体" w:cs="宋体"/>
          <w:color w:val="000000" w:themeColor="text1"/>
          <w:sz w:val="24"/>
          <w:szCs w:val="24"/>
          <w:lang w:eastAsia="zh-CN"/>
          <w14:textFill>
            <w14:solidFill>
              <w14:schemeClr w14:val="tx1"/>
            </w14:solidFill>
          </w14:textFill>
        </w:rPr>
        <w:t>。</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34" w:name="_Toc26625"/>
      <w:bookmarkStart w:id="35" w:name="_Toc14770"/>
      <w:bookmarkStart w:id="36" w:name="_Toc691"/>
      <w:r>
        <w:rPr>
          <w:rFonts w:hint="eastAsia" w:ascii="宋体" w:hAnsi="宋体" w:eastAsia="宋体" w:cs="宋体"/>
          <w:b/>
          <w:bCs w:val="0"/>
          <w:color w:val="000000" w:themeColor="text1"/>
          <w:sz w:val="24"/>
          <w:szCs w:val="24"/>
          <w14:textFill>
            <w14:solidFill>
              <w14:schemeClr w14:val="tx1"/>
            </w14:solidFill>
          </w14:textFill>
        </w:rPr>
        <w:t>二、资金来源</w:t>
      </w:r>
      <w:bookmarkEnd w:id="34"/>
      <w:bookmarkEnd w:id="35"/>
      <w:bookmarkEnd w:id="36"/>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37" w:name="_Toc11232"/>
      <w:r>
        <w:rPr>
          <w:rFonts w:hint="eastAsia" w:ascii="宋体" w:hAnsi="宋体" w:eastAsia="宋体" w:cs="宋体"/>
          <w:color w:val="000000" w:themeColor="text1"/>
          <w:sz w:val="24"/>
          <w:szCs w:val="24"/>
          <w:lang w:eastAsia="zh-CN"/>
          <w14:textFill>
            <w14:solidFill>
              <w14:schemeClr w14:val="tx1"/>
            </w14:solidFill>
          </w14:textFill>
        </w:rPr>
        <w:t>自筹资金</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38" w:name="_Toc24218"/>
      <w:bookmarkStart w:id="39" w:name="_Toc12524"/>
      <w:r>
        <w:rPr>
          <w:rFonts w:hint="eastAsia" w:ascii="宋体" w:hAnsi="宋体" w:eastAsia="宋体" w:cs="宋体"/>
          <w:b/>
          <w:bCs w:val="0"/>
          <w:color w:val="000000" w:themeColor="text1"/>
          <w:sz w:val="24"/>
          <w:szCs w:val="24"/>
          <w14:textFill>
            <w14:solidFill>
              <w14:schemeClr w14:val="tx1"/>
            </w14:solidFill>
          </w14:textFill>
        </w:rPr>
        <w:t>三、谈判资格</w:t>
      </w:r>
      <w:bookmarkEnd w:id="37"/>
      <w:bookmarkEnd w:id="38"/>
      <w:bookmarkEnd w:id="39"/>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谈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40" w:name="_Toc19723"/>
      <w:bookmarkStart w:id="41" w:name="_Toc6975"/>
      <w:bookmarkStart w:id="42" w:name="_Toc3908"/>
      <w:bookmarkStart w:id="43" w:name="_Toc10744"/>
      <w:bookmarkStart w:id="44" w:name="_Toc29767"/>
      <w:r>
        <w:rPr>
          <w:rFonts w:hint="eastAsia" w:ascii="宋体" w:hAnsi="宋体" w:eastAsia="宋体" w:cs="宋体"/>
          <w:color w:val="000000" w:themeColor="text1"/>
          <w:sz w:val="24"/>
          <w:szCs w:val="24"/>
          <w14:textFill>
            <w14:solidFill>
              <w14:schemeClr w14:val="tx1"/>
            </w14:solidFill>
          </w14:textFill>
        </w:rPr>
        <w:t>（一）一般资格条件</w:t>
      </w:r>
      <w:bookmarkEnd w:id="40"/>
      <w:bookmarkEnd w:id="41"/>
      <w:bookmarkEnd w:id="42"/>
      <w:bookmarkEnd w:id="43"/>
      <w:bookmarkEnd w:id="44"/>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1、具有独立承担民事责任的能力；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2、具有良好的商业信誉和健全的财务会计制度；</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3、具有履行合同所必需的设备和专业技术能力；</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4、有依法缴纳税收和社会保障资金的良好记录；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5、参加政府采购活动前三年内，在经营活动中没有重大违法记录；</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6、法律、行政法规规定的其他条件。</w:t>
      </w:r>
    </w:p>
    <w:p>
      <w:pPr>
        <w:pStyle w:val="5"/>
        <w:pageBreakBefore w:val="0"/>
        <w:widowControl w:val="0"/>
        <w:kinsoku/>
        <w:wordWrap/>
        <w:overflowPunct/>
        <w:topLinePunct w:val="0"/>
        <w:autoSpaceDE/>
        <w:autoSpaceDN/>
        <w:bidi w:val="0"/>
        <w:adjustRightInd/>
        <w:spacing w:before="0" w:after="0" w:line="440" w:lineRule="exact"/>
        <w:ind w:firstLine="482" w:firstLineChars="200"/>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45" w:name="_Toc10152"/>
      <w:bookmarkStart w:id="46" w:name="_Toc5250"/>
      <w:bookmarkStart w:id="47" w:name="_Toc5644"/>
      <w:r>
        <w:rPr>
          <w:rFonts w:hint="eastAsia" w:ascii="宋体" w:hAnsi="宋体" w:eastAsia="宋体" w:cs="宋体"/>
          <w:b/>
          <w:bCs w:val="0"/>
          <w:color w:val="000000" w:themeColor="text1"/>
          <w:sz w:val="24"/>
          <w:szCs w:val="24"/>
          <w:lang w:eastAsia="zh-CN"/>
          <w14:textFill>
            <w14:solidFill>
              <w14:schemeClr w14:val="tx1"/>
            </w14:solidFill>
          </w14:textFill>
        </w:rPr>
        <w:t>四、</w:t>
      </w:r>
      <w:r>
        <w:rPr>
          <w:rFonts w:hint="eastAsia" w:ascii="宋体" w:hAnsi="宋体" w:eastAsia="宋体" w:cs="宋体"/>
          <w:b/>
          <w:bCs w:val="0"/>
          <w:color w:val="000000" w:themeColor="text1"/>
          <w:sz w:val="24"/>
          <w:szCs w:val="24"/>
          <w14:textFill>
            <w14:solidFill>
              <w14:schemeClr w14:val="tx1"/>
            </w14:solidFill>
          </w14:textFill>
        </w:rPr>
        <w:t>谈判有关说明</w:t>
      </w:r>
      <w:bookmarkEnd w:id="32"/>
      <w:bookmarkEnd w:id="45"/>
      <w:bookmarkEnd w:id="46"/>
      <w:bookmarkEnd w:id="47"/>
    </w:p>
    <w:p>
      <w:pPr>
        <w:pStyle w:val="5"/>
        <w:keepNext/>
        <w:keepLines/>
        <w:pageBreakBefore w:val="0"/>
        <w:widowControl w:val="0"/>
        <w:kinsoku/>
        <w:wordWrap/>
        <w:overflowPunct/>
        <w:topLinePunct w:val="0"/>
        <w:autoSpaceDE/>
        <w:autoSpaceDN/>
        <w:bidi w:val="0"/>
        <w:adjustRightInd/>
        <w:snapToGrid/>
        <w:spacing w:before="0" w:after="0" w:line="440" w:lineRule="exact"/>
        <w:ind w:left="-280" w:leftChars="-100" w:firstLine="480" w:firstLineChars="200"/>
        <w:textAlignment w:val="auto"/>
        <w:outlineLvl w:val="9"/>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一）凡有意参加谈判的供应商，请于公告发布之日起至提交首次响应文件截止时间之前，在“荣昌区人民医院（http://www.cqrc120.com/）”网上下载本项目竞争性谈判文件以及图纸、补遗等谈判前公布的所有项目资料，无论供应商下载与否，均视为已知晓所有谈判实质性要求内容。</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（二）按《重庆市财政局关于进一步规范响应报名及保证金缴纳的通知》（渝财采购﹝2013﹞30号）文的规定，报名方式为谈判当天现场报名，竞争性谈判文件购买费在各供应商递交响应文件时一并缴纳。</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（三）竞争性谈判文件售价为：单份售价为：500元/分包（售后不退）。采用非现金方式现场缴纳：微信或支付宝。</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（四）供应商须满足以下二种要件，其响应文件才被接受：</w:t>
      </w:r>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bookmarkStart w:id="48" w:name="_Toc17666"/>
      <w:bookmarkStart w:id="49" w:name="_Toc23695"/>
      <w:bookmarkStart w:id="50" w:name="_Toc13339"/>
      <w:bookmarkStart w:id="51" w:name="_Toc14773"/>
      <w:bookmarkStart w:id="52" w:name="_Toc31214"/>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1、按时递交了响应文件；</w:t>
      </w:r>
      <w:bookmarkEnd w:id="48"/>
      <w:bookmarkEnd w:id="49"/>
      <w:bookmarkEnd w:id="50"/>
      <w:bookmarkEnd w:id="51"/>
      <w:bookmarkEnd w:id="52"/>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bookmarkStart w:id="53" w:name="_Toc17140"/>
      <w:bookmarkStart w:id="54" w:name="_Toc3081"/>
      <w:bookmarkStart w:id="55" w:name="_Toc14525"/>
      <w:bookmarkStart w:id="56" w:name="_Toc2971"/>
      <w:bookmarkStart w:id="57" w:name="_Toc2335"/>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2、按时足额缴纳了保证金和竞争性谈判文件购买费。</w:t>
      </w:r>
      <w:bookmarkEnd w:id="53"/>
      <w:bookmarkEnd w:id="54"/>
      <w:bookmarkEnd w:id="55"/>
      <w:bookmarkEnd w:id="56"/>
      <w:bookmarkEnd w:id="57"/>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bookmarkStart w:id="58" w:name="_Toc8958"/>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（五）谈判地点：</w:t>
      </w:r>
      <w:bookmarkStart w:id="59" w:name="_Toc373860294"/>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重庆市荣昌区创新发展中心10楼17号。</w:t>
      </w:r>
      <w:bookmarkEnd w:id="58"/>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bookmarkStart w:id="60" w:name="_Toc30302"/>
      <w:bookmarkStart w:id="61" w:name="_Toc4852"/>
      <w:bookmarkStart w:id="62" w:name="_Toc26516"/>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（六）提交响应文件开始时间：</w:t>
      </w:r>
      <w:bookmarkEnd w:id="60"/>
      <w:bookmarkEnd w:id="61"/>
      <w:bookmarkStart w:id="63" w:name="_Toc18711"/>
      <w:bookmarkStart w:id="64" w:name="_Toc13341"/>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2021年</w:t>
      </w:r>
      <w:r>
        <w:rPr>
          <w:rFonts w:hint="eastAsia" w:ascii="宋体" w:hAnsi="宋体" w:cs="宋体"/>
          <w:b w:val="0"/>
          <w:color w:val="000000" w:themeColor="text1"/>
          <w:kern w:val="2"/>
          <w:sz w:val="24"/>
          <w:szCs w:val="24"/>
          <w:lang w:val="en-US" w:eastAsia="zh-CN" w:bidi="ar-SA"/>
          <w14:textFill>
            <w14:solidFill>
              <w14:schemeClr w14:val="tx1"/>
            </w14:solidFill>
          </w14:textFill>
        </w:rPr>
        <w:t>10</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月</w:t>
      </w:r>
      <w:r>
        <w:rPr>
          <w:rFonts w:hint="eastAsia" w:ascii="宋体" w:hAnsi="宋体" w:cs="宋体"/>
          <w:b w:val="0"/>
          <w:color w:val="000000" w:themeColor="text1"/>
          <w:kern w:val="2"/>
          <w:sz w:val="24"/>
          <w:szCs w:val="24"/>
          <w:lang w:val="en-US" w:eastAsia="zh-CN" w:bidi="ar-SA"/>
          <w14:textFill>
            <w14:solidFill>
              <w14:schemeClr w14:val="tx1"/>
            </w14:solidFill>
          </w14:textFill>
        </w:rPr>
        <w:t>14</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日北京时间</w:t>
      </w:r>
      <w:r>
        <w:rPr>
          <w:rFonts w:hint="eastAsia" w:ascii="宋体" w:hAnsi="宋体" w:cs="宋体"/>
          <w:b w:val="0"/>
          <w:color w:val="000000" w:themeColor="text1"/>
          <w:kern w:val="2"/>
          <w:sz w:val="24"/>
          <w:szCs w:val="24"/>
          <w:lang w:val="en-US" w:eastAsia="zh-CN" w:bidi="ar-SA"/>
          <w14:textFill>
            <w14:solidFill>
              <w14:schemeClr w14:val="tx1"/>
            </w14:solidFill>
          </w14:textFill>
        </w:rPr>
        <w:t>14</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时</w:t>
      </w:r>
      <w:r>
        <w:rPr>
          <w:rFonts w:hint="eastAsia" w:ascii="宋体" w:hAnsi="宋体" w:cs="宋体"/>
          <w:b w:val="0"/>
          <w:color w:val="000000" w:themeColor="text1"/>
          <w:kern w:val="2"/>
          <w:sz w:val="24"/>
          <w:szCs w:val="24"/>
          <w:lang w:val="en-US" w:eastAsia="zh-CN" w:bidi="ar-SA"/>
          <w14:textFill>
            <w14:solidFill>
              <w14:schemeClr w14:val="tx1"/>
            </w14:solidFill>
          </w14:textFill>
        </w:rPr>
        <w:t>00</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分。</w:t>
      </w:r>
      <w:bookmarkEnd w:id="62"/>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bookmarkStart w:id="65" w:name="_Toc3165"/>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（七）提交响应文件截止时间：</w:t>
      </w:r>
      <w:bookmarkEnd w:id="63"/>
      <w:bookmarkEnd w:id="64"/>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2021年</w:t>
      </w:r>
      <w:r>
        <w:rPr>
          <w:rFonts w:hint="eastAsia" w:ascii="宋体" w:hAnsi="宋体" w:cs="宋体"/>
          <w:b w:val="0"/>
          <w:color w:val="000000" w:themeColor="text1"/>
          <w:kern w:val="2"/>
          <w:sz w:val="24"/>
          <w:szCs w:val="24"/>
          <w:lang w:val="en-US" w:eastAsia="zh-CN" w:bidi="ar-SA"/>
          <w14:textFill>
            <w14:solidFill>
              <w14:schemeClr w14:val="tx1"/>
            </w14:solidFill>
          </w14:textFill>
        </w:rPr>
        <w:t>10</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月</w:t>
      </w:r>
      <w:r>
        <w:rPr>
          <w:rFonts w:hint="eastAsia" w:ascii="宋体" w:hAnsi="宋体" w:cs="宋体"/>
          <w:b w:val="0"/>
          <w:color w:val="000000" w:themeColor="text1"/>
          <w:kern w:val="2"/>
          <w:sz w:val="24"/>
          <w:szCs w:val="24"/>
          <w:lang w:val="en-US" w:eastAsia="zh-CN" w:bidi="ar-SA"/>
          <w14:textFill>
            <w14:solidFill>
              <w14:schemeClr w14:val="tx1"/>
            </w14:solidFill>
          </w14:textFill>
        </w:rPr>
        <w:t>14</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日北京时间</w:t>
      </w:r>
      <w:r>
        <w:rPr>
          <w:rFonts w:hint="eastAsia" w:ascii="宋体" w:hAnsi="宋体" w:cs="宋体"/>
          <w:b w:val="0"/>
          <w:color w:val="000000" w:themeColor="text1"/>
          <w:kern w:val="2"/>
          <w:sz w:val="24"/>
          <w:szCs w:val="24"/>
          <w:lang w:val="en-US" w:eastAsia="zh-CN" w:bidi="ar-SA"/>
          <w14:textFill>
            <w14:solidFill>
              <w14:schemeClr w14:val="tx1"/>
            </w14:solidFill>
          </w14:textFill>
        </w:rPr>
        <w:t>14</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时</w:t>
      </w:r>
      <w:r>
        <w:rPr>
          <w:rFonts w:hint="eastAsia" w:ascii="宋体" w:hAnsi="宋体" w:cs="宋体"/>
          <w:b w:val="0"/>
          <w:color w:val="000000" w:themeColor="text1"/>
          <w:kern w:val="2"/>
          <w:sz w:val="24"/>
          <w:szCs w:val="24"/>
          <w:lang w:val="en-US" w:eastAsia="zh-CN" w:bidi="ar-SA"/>
          <w14:textFill>
            <w14:solidFill>
              <w14:schemeClr w14:val="tx1"/>
            </w14:solidFill>
          </w14:textFill>
        </w:rPr>
        <w:t>30</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分。</w:t>
      </w:r>
      <w:bookmarkEnd w:id="65"/>
    </w:p>
    <w:p>
      <w:pPr>
        <w:pageBreakBefore w:val="0"/>
        <w:widowControl w:val="0"/>
        <w:kinsoku/>
        <w:wordWrap/>
        <w:overflowPunct/>
        <w:topLinePunct w:val="0"/>
        <w:autoSpaceDE/>
        <w:autoSpaceDN/>
        <w:bidi w:val="0"/>
        <w:adjustRightInd/>
        <w:spacing w:line="440" w:lineRule="exact"/>
        <w:ind w:firstLine="240" w:firstLineChars="100"/>
        <w:textAlignment w:val="auto"/>
        <w:rPr>
          <w:rFonts w:hint="eastAsia" w:ascii="宋体" w:hAnsi="宋体" w:eastAsia="宋体" w:cs="宋体"/>
          <w:b w:val="0"/>
          <w:color w:val="000000" w:themeColor="text1"/>
          <w:kern w:val="2"/>
          <w:sz w:val="24"/>
          <w:szCs w:val="24"/>
          <w:lang w:val="en-US" w:eastAsia="zh-CN" w:bidi="ar-SA"/>
          <w14:textFill>
            <w14:solidFill>
              <w14:schemeClr w14:val="tx1"/>
            </w14:solidFill>
          </w14:textFill>
        </w:rPr>
      </w:pPr>
      <w:bookmarkStart w:id="66" w:name="_Toc17749"/>
      <w:bookmarkStart w:id="67" w:name="_Toc22421"/>
      <w:bookmarkStart w:id="68" w:name="_Toc22930"/>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（八）谈判开始时间：</w:t>
      </w:r>
      <w:bookmarkEnd w:id="66"/>
      <w:bookmarkEnd w:id="67"/>
      <w:bookmarkEnd w:id="68"/>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2021年</w:t>
      </w:r>
      <w:r>
        <w:rPr>
          <w:rFonts w:hint="eastAsia" w:ascii="宋体" w:hAnsi="宋体" w:cs="宋体"/>
          <w:b w:val="0"/>
          <w:color w:val="000000" w:themeColor="text1"/>
          <w:kern w:val="2"/>
          <w:sz w:val="24"/>
          <w:szCs w:val="24"/>
          <w:lang w:val="en-US" w:eastAsia="zh-CN" w:bidi="ar-SA"/>
          <w14:textFill>
            <w14:solidFill>
              <w14:schemeClr w14:val="tx1"/>
            </w14:solidFill>
          </w14:textFill>
        </w:rPr>
        <w:t>10</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月</w:t>
      </w:r>
      <w:r>
        <w:rPr>
          <w:rFonts w:hint="eastAsia" w:ascii="宋体" w:hAnsi="宋体" w:cs="宋体"/>
          <w:b w:val="0"/>
          <w:color w:val="000000" w:themeColor="text1"/>
          <w:kern w:val="2"/>
          <w:sz w:val="24"/>
          <w:szCs w:val="24"/>
          <w:lang w:val="en-US" w:eastAsia="zh-CN" w:bidi="ar-SA"/>
          <w14:textFill>
            <w14:solidFill>
              <w14:schemeClr w14:val="tx1"/>
            </w14:solidFill>
          </w14:textFill>
        </w:rPr>
        <w:t>14</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日北京时间</w:t>
      </w:r>
      <w:r>
        <w:rPr>
          <w:rFonts w:hint="eastAsia" w:ascii="宋体" w:hAnsi="宋体" w:cs="宋体"/>
          <w:b w:val="0"/>
          <w:color w:val="000000" w:themeColor="text1"/>
          <w:kern w:val="2"/>
          <w:sz w:val="24"/>
          <w:szCs w:val="24"/>
          <w:lang w:val="en-US" w:eastAsia="zh-CN" w:bidi="ar-SA"/>
          <w14:textFill>
            <w14:solidFill>
              <w14:schemeClr w14:val="tx1"/>
            </w14:solidFill>
          </w14:textFill>
        </w:rPr>
        <w:t>14</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时</w:t>
      </w:r>
      <w:r>
        <w:rPr>
          <w:rFonts w:hint="eastAsia" w:ascii="宋体" w:hAnsi="宋体" w:cs="宋体"/>
          <w:b w:val="0"/>
          <w:color w:val="000000" w:themeColor="text1"/>
          <w:kern w:val="2"/>
          <w:sz w:val="24"/>
          <w:szCs w:val="24"/>
          <w:lang w:val="en-US" w:eastAsia="zh-CN" w:bidi="ar-SA"/>
          <w14:textFill>
            <w14:solidFill>
              <w14:schemeClr w14:val="tx1"/>
            </w14:solidFill>
          </w14:textFill>
        </w:rPr>
        <w:t>30</w:t>
      </w:r>
      <w:r>
        <w:rPr>
          <w:rFonts w:hint="eastAsia" w:ascii="宋体" w:hAnsi="宋体" w:eastAsia="宋体" w:cs="宋体"/>
          <w:b w:val="0"/>
          <w:color w:val="000000" w:themeColor="text1"/>
          <w:kern w:val="2"/>
          <w:sz w:val="24"/>
          <w:szCs w:val="24"/>
          <w:lang w:val="en-US" w:eastAsia="zh-CN" w:bidi="ar-SA"/>
          <w14:textFill>
            <w14:solidFill>
              <w14:schemeClr w14:val="tx1"/>
            </w14:solidFill>
          </w14:textFill>
        </w:rPr>
        <w:t>分。</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宋体" w:hAnsi="宋体" w:eastAsia="宋体" w:cs="宋体"/>
          <w:b/>
          <w:bCs w:val="0"/>
          <w:color w:val="000000" w:themeColor="text1"/>
          <w:sz w:val="24"/>
          <w:szCs w:val="24"/>
          <w:lang w:eastAsia="zh-CN"/>
          <w14:textFill>
            <w14:solidFill>
              <w14:schemeClr w14:val="tx1"/>
            </w14:solidFill>
          </w14:textFill>
        </w:rPr>
      </w:pPr>
      <w:bookmarkStart w:id="69" w:name="_Toc17909"/>
      <w:bookmarkStart w:id="70" w:name="_Toc29022"/>
      <w:r>
        <w:rPr>
          <w:rFonts w:hint="eastAsia" w:ascii="宋体" w:hAnsi="宋体" w:eastAsia="宋体" w:cs="宋体"/>
          <w:b/>
          <w:bCs w:val="0"/>
          <w:color w:val="000000" w:themeColor="text1"/>
          <w:sz w:val="24"/>
          <w:szCs w:val="24"/>
          <w:lang w:eastAsia="zh-CN"/>
          <w14:textFill>
            <w14:solidFill>
              <w14:schemeClr w14:val="tx1"/>
            </w14:solidFill>
          </w14:textFill>
        </w:rPr>
        <w:t>五、保证金</w:t>
      </w:r>
      <w:bookmarkEnd w:id="69"/>
      <w:bookmarkEnd w:id="70"/>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71" w:name="_Toc12977"/>
      <w:bookmarkStart w:id="72" w:name="_Toc16948"/>
      <w:bookmarkStart w:id="73" w:name="_Toc1257"/>
      <w:bookmarkStart w:id="74" w:name="_Toc4806"/>
      <w:bookmarkStart w:id="75" w:name="_Toc12444"/>
      <w:r>
        <w:rPr>
          <w:rFonts w:hint="eastAsia" w:ascii="宋体" w:hAnsi="宋体" w:eastAsia="宋体" w:cs="宋体"/>
          <w:color w:val="000000" w:themeColor="text1"/>
          <w:sz w:val="24"/>
          <w:szCs w:val="24"/>
          <w14:textFill>
            <w14:solidFill>
              <w14:schemeClr w14:val="tx1"/>
            </w14:solidFill>
          </w14:textFill>
        </w:rPr>
        <w:t>（一）</w:t>
      </w:r>
      <w:r>
        <w:rPr>
          <w:rFonts w:hint="eastAsia" w:ascii="宋体" w:hAnsi="宋体" w:eastAsia="宋体" w:cs="宋体"/>
          <w:color w:val="000000" w:themeColor="text1"/>
          <w:sz w:val="24"/>
          <w:szCs w:val="24"/>
          <w:lang w:val="en-US" w:eastAsia="zh-CN"/>
          <w14:textFill>
            <w14:solidFill>
              <w14:schemeClr w14:val="tx1"/>
            </w14:solidFill>
          </w14:textFill>
        </w:rPr>
        <w:t>供应商</w:t>
      </w:r>
      <w:r>
        <w:rPr>
          <w:rFonts w:hint="eastAsia" w:ascii="宋体" w:hAnsi="宋体" w:eastAsia="宋体" w:cs="宋体"/>
          <w:color w:val="000000" w:themeColor="text1"/>
          <w:sz w:val="24"/>
          <w:szCs w:val="24"/>
          <w14:textFill>
            <w14:solidFill>
              <w14:schemeClr w14:val="tx1"/>
            </w14:solidFill>
          </w14:textFill>
        </w:rPr>
        <w:t>采用支票、汇票、本票或者金融机构、担保机构出具的保函等非现金形式交纳。保证金数额应当不超过采购项目预算的2%。</w:t>
      </w:r>
      <w:bookmarkEnd w:id="71"/>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76" w:name="_Toc4477"/>
      <w:r>
        <w:rPr>
          <w:rFonts w:hint="eastAsia" w:ascii="宋体" w:hAnsi="宋体" w:eastAsia="宋体" w:cs="宋体"/>
          <w:color w:val="000000" w:themeColor="text1"/>
          <w:sz w:val="24"/>
          <w:szCs w:val="24"/>
          <w:lang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缴纳保证金方式</w:t>
      </w:r>
      <w:bookmarkEnd w:id="72"/>
      <w:bookmarkEnd w:id="73"/>
      <w:bookmarkEnd w:id="74"/>
      <w:bookmarkEnd w:id="75"/>
      <w:bookmarkEnd w:id="76"/>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须按本项目规定的保证金金额进行缴纳（保证金金额详见本篇“一、竞争性谈判内容”），由供应商从其账户将保证金汇至以下指定账户，保证金的开始缴纳时间为采购公告发布之日，保证金到账截止时间为谈判当天北京时间</w:t>
      </w:r>
      <w:r>
        <w:rPr>
          <w:rFonts w:hint="eastAsia" w:ascii="宋体" w:hAnsi="宋体" w:cs="宋体"/>
          <w:color w:val="000000" w:themeColor="text1"/>
          <w:sz w:val="24"/>
          <w:szCs w:val="24"/>
          <w:lang w:val="en-US" w:eastAsia="zh-CN"/>
          <w14:textFill>
            <w14:solidFill>
              <w14:schemeClr w14:val="tx1"/>
            </w14:solidFill>
          </w14:textFill>
        </w:rPr>
        <w:t>14</w:t>
      </w:r>
      <w:r>
        <w:rPr>
          <w:rFonts w:hint="eastAsia" w:ascii="宋体" w:hAnsi="宋体" w:eastAsia="宋体" w:cs="宋体"/>
          <w:color w:val="000000" w:themeColor="text1"/>
          <w:sz w:val="24"/>
          <w:szCs w:val="24"/>
          <w:lang w:val="en-US" w:eastAsia="zh-CN"/>
          <w14:textFill>
            <w14:solidFill>
              <w14:schemeClr w14:val="tx1"/>
            </w14:solidFill>
          </w14:textFill>
        </w:rPr>
        <w:t>时</w:t>
      </w:r>
      <w:r>
        <w:rPr>
          <w:rFonts w:hint="eastAsia" w:ascii="宋体" w:hAnsi="宋体" w:cs="宋体"/>
          <w:color w:val="000000" w:themeColor="text1"/>
          <w:sz w:val="24"/>
          <w:szCs w:val="24"/>
          <w:lang w:val="en-US" w:eastAsia="zh-CN"/>
          <w14:textFill>
            <w14:solidFill>
              <w14:schemeClr w14:val="tx1"/>
            </w14:solidFill>
          </w14:textFill>
        </w:rPr>
        <w:t>30</w:t>
      </w:r>
      <w:r>
        <w:rPr>
          <w:rFonts w:hint="eastAsia" w:ascii="宋体" w:hAnsi="宋体" w:eastAsia="宋体" w:cs="宋体"/>
          <w:color w:val="000000" w:themeColor="text1"/>
          <w:sz w:val="24"/>
          <w:szCs w:val="24"/>
          <w:lang w:val="en-US" w:eastAsia="zh-CN"/>
          <w14:textFill>
            <w14:solidFill>
              <w14:schemeClr w14:val="tx1"/>
            </w14:solidFill>
          </w14:textFill>
        </w:rPr>
        <w:t>分</w:t>
      </w:r>
      <w:r>
        <w:rPr>
          <w:rFonts w:hint="eastAsia" w:ascii="宋体" w:hAnsi="宋体" w:eastAsia="宋体" w:cs="宋体"/>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保证金账户：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户 名：重庆优佳工程招标代理有限公司</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开户行：中国建设银行荣昌昌州支行</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账 号：50050117630000000393 </w:t>
      </w:r>
    </w:p>
    <w:p>
      <w:pPr>
        <w:pageBreakBefore w:val="0"/>
        <w:widowControl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color w:val="000000" w:themeColor="text1"/>
          <w:sz w:val="24"/>
          <w:szCs w:val="24"/>
          <w:u w:val="none"/>
          <w:lang w:eastAsia="zh-CN"/>
          <w14:textFill>
            <w14:solidFill>
              <w14:schemeClr w14:val="tx1"/>
            </w14:solidFill>
          </w14:textFill>
        </w:rPr>
      </w:pPr>
      <w:r>
        <w:rPr>
          <w:rFonts w:hint="eastAsia" w:ascii="宋体" w:hAnsi="宋体" w:eastAsia="宋体" w:cs="宋体"/>
          <w:b/>
          <w:bCs/>
          <w:color w:val="000000" w:themeColor="text1"/>
          <w:sz w:val="24"/>
          <w:szCs w:val="24"/>
          <w:u w:val="none"/>
          <w14:textFill>
            <w14:solidFill>
              <w14:schemeClr w14:val="tx1"/>
            </w14:solidFill>
          </w14:textFill>
        </w:rPr>
        <w:t>1</w:t>
      </w:r>
      <w:r>
        <w:rPr>
          <w:rFonts w:hint="eastAsia" w:ascii="宋体" w:hAnsi="宋体" w:eastAsia="宋体" w:cs="宋体"/>
          <w:b/>
          <w:bCs/>
          <w:color w:val="000000" w:themeColor="text1"/>
          <w:sz w:val="24"/>
          <w:szCs w:val="24"/>
          <w:u w:val="none"/>
          <w:lang w:eastAsia="zh-CN"/>
          <w14:textFill>
            <w14:solidFill>
              <w14:schemeClr w14:val="tx1"/>
            </w14:solidFill>
          </w14:textFill>
        </w:rPr>
        <w:t>、</w:t>
      </w:r>
      <w:r>
        <w:rPr>
          <w:rFonts w:hint="eastAsia" w:ascii="宋体" w:hAnsi="宋体" w:eastAsia="宋体" w:cs="宋体"/>
          <w:b/>
          <w:bCs/>
          <w:color w:val="000000" w:themeColor="text1"/>
          <w:sz w:val="24"/>
          <w:szCs w:val="24"/>
          <w:u w:val="single"/>
          <w:lang w:eastAsia="zh-CN"/>
          <w14:textFill>
            <w14:solidFill>
              <w14:schemeClr w14:val="tx1"/>
            </w14:solidFill>
          </w14:textFill>
        </w:rPr>
        <w:t>转款备注：</w:t>
      </w:r>
      <w:r>
        <w:rPr>
          <w:rFonts w:hint="eastAsia" w:ascii="宋体" w:hAnsi="宋体" w:eastAsia="宋体" w:cs="宋体"/>
          <w:b/>
          <w:bCs/>
          <w:color w:val="000000" w:themeColor="text1"/>
          <w:sz w:val="24"/>
          <w:szCs w:val="24"/>
          <w:u w:val="single"/>
          <w:lang w:val="en-US" w:eastAsia="zh-CN"/>
          <w14:textFill>
            <w14:solidFill>
              <w14:schemeClr w14:val="tx1"/>
            </w14:solidFill>
          </w14:textFill>
        </w:rPr>
        <w:t>荣昌区人民医院门诊弱电改造项目</w:t>
      </w:r>
      <w:r>
        <w:rPr>
          <w:rFonts w:hint="eastAsia" w:ascii="宋体" w:hAnsi="宋体" w:eastAsia="宋体" w:cs="宋体"/>
          <w:b/>
          <w:bCs/>
          <w:color w:val="000000" w:themeColor="text1"/>
          <w:sz w:val="24"/>
          <w:szCs w:val="24"/>
          <w:u w:val="single"/>
          <w:lang w:eastAsia="zh-CN"/>
          <w14:textFill>
            <w14:solidFill>
              <w14:schemeClr w14:val="tx1"/>
            </w14:solidFill>
          </w14:textFill>
        </w:rPr>
        <w:t>保证金</w:t>
      </w:r>
      <w:r>
        <w:rPr>
          <w:rFonts w:hint="eastAsia" w:ascii="宋体" w:hAnsi="宋体" w:eastAsia="宋体" w:cs="宋体"/>
          <w:b/>
          <w:bCs/>
          <w:color w:val="000000" w:themeColor="text1"/>
          <w:sz w:val="24"/>
          <w:szCs w:val="24"/>
          <w:u w:val="single"/>
          <w14:textFill>
            <w14:solidFill>
              <w14:schemeClr w14:val="tx1"/>
            </w14:solidFill>
          </w14:textFill>
        </w:rPr>
        <w:t>（可简写）</w:t>
      </w:r>
      <w:r>
        <w:rPr>
          <w:rFonts w:hint="eastAsia" w:ascii="宋体" w:hAnsi="宋体" w:eastAsia="宋体" w:cs="宋体"/>
          <w:b/>
          <w:bCs/>
          <w:color w:val="000000" w:themeColor="text1"/>
          <w:sz w:val="24"/>
          <w:szCs w:val="24"/>
          <w:u w:val="none"/>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各供应商在银行转账（电汇）时，须充分考虑银行转账（电汇）的时间差风险，如同城转账、异地转账或汇款、跨行转账或汇款的时间要求；请供应商使用网银及柜台转账方式缴纳保证金，本项目不接收柜台现金存款、结算卡、刷POS机及通过第三方支付平台缴纳保证金（如：微信支付、支付宝等方式），如果由于供应商未按以上约定方式缴纳保证金导致无法谈判和无法退付保证金等后果由供应商自行承担。</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为了方便保证金的核查，请各供应商把开户许可证复印件及转账凭证原件带至谈判现场备查。</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保证金必须按竞争性谈判文件规定的时间和金额缴纳。</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77" w:name="_Toc5434"/>
      <w:bookmarkStart w:id="78" w:name="_Toc5647"/>
      <w:bookmarkStart w:id="79" w:name="_Toc4295"/>
      <w:bookmarkStart w:id="80" w:name="_Toc2453"/>
      <w:bookmarkStart w:id="81" w:name="_Toc19231"/>
      <w:r>
        <w:rPr>
          <w:rFonts w:hint="eastAsia" w:ascii="宋体" w:hAnsi="宋体" w:eastAsia="宋体" w:cs="宋体"/>
          <w:color w:val="000000" w:themeColor="text1"/>
          <w:sz w:val="24"/>
          <w:szCs w:val="24"/>
          <w14:textFill>
            <w14:solidFill>
              <w14:schemeClr w14:val="tx1"/>
            </w14:solidFill>
          </w14:textFill>
        </w:rPr>
        <w:t>（二）保证金退还方式</w:t>
      </w:r>
      <w:bookmarkEnd w:id="77"/>
      <w:bookmarkEnd w:id="78"/>
      <w:bookmarkEnd w:id="79"/>
      <w:bookmarkEnd w:id="80"/>
      <w:bookmarkEnd w:id="81"/>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未成交供应商的保证金，在成交通知书发放后，采购代理机构在5个工作日内按来款渠道直接退还。</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成交供应商的保证金，在成交供应商与采购人签订合同后5个工作日内按资金来款渠道直接退还。</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重庆优佳工程招标代理有限公司咨询电话：023-46338677</w:t>
      </w:r>
    </w:p>
    <w:bookmarkEnd w:id="33"/>
    <w:bookmarkEnd w:id="59"/>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宋体" w:hAnsi="宋体" w:eastAsia="宋体" w:cs="宋体"/>
          <w:b/>
          <w:bCs w:val="0"/>
          <w:color w:val="000000" w:themeColor="text1"/>
          <w:sz w:val="24"/>
          <w:szCs w:val="24"/>
          <w:lang w:eastAsia="zh-CN"/>
          <w14:textFill>
            <w14:solidFill>
              <w14:schemeClr w14:val="tx1"/>
            </w14:solidFill>
          </w14:textFill>
        </w:rPr>
      </w:pPr>
      <w:bookmarkStart w:id="82" w:name="_Toc268"/>
      <w:bookmarkStart w:id="83" w:name="_Toc17680"/>
      <w:bookmarkStart w:id="84" w:name="_Toc10919"/>
      <w:r>
        <w:rPr>
          <w:rFonts w:hint="eastAsia" w:ascii="宋体" w:hAnsi="宋体" w:eastAsia="宋体" w:cs="宋体"/>
          <w:b/>
          <w:bCs w:val="0"/>
          <w:color w:val="000000" w:themeColor="text1"/>
          <w:sz w:val="24"/>
          <w:szCs w:val="24"/>
          <w:lang w:eastAsia="zh-CN"/>
          <w14:textFill>
            <w14:solidFill>
              <w14:schemeClr w14:val="tx1"/>
            </w14:solidFill>
          </w14:textFill>
        </w:rPr>
        <w:t>六、</w:t>
      </w:r>
      <w:bookmarkStart w:id="85" w:name="_Toc31280"/>
      <w:r>
        <w:rPr>
          <w:rFonts w:hint="eastAsia" w:ascii="宋体" w:hAnsi="宋体" w:eastAsia="宋体" w:cs="宋体"/>
          <w:b/>
          <w:bCs w:val="0"/>
          <w:color w:val="000000" w:themeColor="text1"/>
          <w:sz w:val="24"/>
          <w:szCs w:val="24"/>
          <w:lang w:eastAsia="zh-CN"/>
          <w14:textFill>
            <w14:solidFill>
              <w14:schemeClr w14:val="tx1"/>
            </w14:solidFill>
          </w14:textFill>
        </w:rPr>
        <w:t>采购项目需落实的政府采购政策</w:t>
      </w:r>
      <w:bookmarkEnd w:id="82"/>
      <w:bookmarkEnd w:id="85"/>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（一）按照《财政部 生态环境部关于印发环境标志产品政府采购品目清单的通知》（财库〔2019〕18号）和《财政部 发展改革委关于印发节能产品政府采购品目清单的通知》（财库〔2019〕19号）的规定，落实国家节能环保政策。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（二）按照&lt;财政部 工业和信息化部关于印发《政府采购促进中小企业发展暂行办法》的通知&gt;（财库〔</w:t>
      </w:r>
      <w:r>
        <w:rPr>
          <w:rFonts w:hint="eastAsia" w:ascii="宋体" w:hAnsi="宋体" w:eastAsia="宋体" w:cs="宋体"/>
          <w:color w:val="000000" w:themeColor="text1"/>
          <w:sz w:val="24"/>
          <w:szCs w:val="24"/>
          <w:lang w:val="en-US" w:eastAsia="zh-CN"/>
          <w14:textFill>
            <w14:solidFill>
              <w14:schemeClr w14:val="tx1"/>
            </w14:solidFill>
          </w14:textFill>
        </w:rPr>
        <w:t>2020</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46</w:t>
      </w:r>
      <w:r>
        <w:rPr>
          <w:rFonts w:hint="eastAsia" w:ascii="宋体" w:hAnsi="宋体" w:eastAsia="宋体" w:cs="宋体"/>
          <w:color w:val="000000" w:themeColor="text1"/>
          <w:sz w:val="24"/>
          <w:szCs w:val="24"/>
          <w14:textFill>
            <w14:solidFill>
              <w14:schemeClr w14:val="tx1"/>
            </w14:solidFill>
          </w14:textFill>
        </w:rPr>
        <w:t>号）的规定，落实促进中小企业发展政策。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（三）按照&lt;财政部、司法部关于政府采购支持监狱企业发展有关问题的通知&gt;（财库〔2014〕68号）的规定，落实支持监狱企业发展政策。</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（四）按照《三部门联合发布关于促进残疾人就业政府采购政策的通知》（财库〔2017〕 141号）的规定，落实支持残疾人福利性单位发展政策。</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宋体" w:hAnsi="宋体" w:eastAsia="宋体" w:cs="宋体"/>
          <w:b/>
          <w:bCs w:val="0"/>
          <w:color w:val="000000" w:themeColor="text1"/>
          <w:sz w:val="24"/>
          <w:szCs w:val="24"/>
          <w:lang w:eastAsia="zh-CN"/>
          <w14:textFill>
            <w14:solidFill>
              <w14:schemeClr w14:val="tx1"/>
            </w14:solidFill>
          </w14:textFill>
        </w:rPr>
      </w:pPr>
      <w:bookmarkStart w:id="86" w:name="_Toc14658"/>
      <w:r>
        <w:rPr>
          <w:rFonts w:hint="eastAsia" w:ascii="宋体" w:hAnsi="宋体" w:eastAsia="宋体" w:cs="宋体"/>
          <w:b/>
          <w:bCs w:val="0"/>
          <w:color w:val="000000" w:themeColor="text1"/>
          <w:sz w:val="24"/>
          <w:szCs w:val="24"/>
          <w:lang w:eastAsia="zh-CN"/>
          <w14:textFill>
            <w14:solidFill>
              <w14:schemeClr w14:val="tx1"/>
            </w14:solidFill>
          </w14:textFill>
        </w:rPr>
        <w:t>七、其它有关规定</w:t>
      </w:r>
      <w:bookmarkEnd w:id="83"/>
      <w:bookmarkEnd w:id="84"/>
      <w:bookmarkEnd w:id="86"/>
    </w:p>
    <w:p>
      <w:pPr>
        <w:pageBreakBefore w:val="0"/>
        <w:widowControl w:val="0"/>
        <w:numPr>
          <w:ilvl w:val="0"/>
          <w:numId w:val="0"/>
        </w:numPr>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u w:val="none"/>
          <w:lang w:eastAsia="zh-CN"/>
          <w14:textFill>
            <w14:solidFill>
              <w14:schemeClr w14:val="tx1"/>
            </w14:solidFill>
          </w14:textFill>
        </w:rPr>
        <w:t>（一）</w:t>
      </w:r>
      <w:r>
        <w:rPr>
          <w:rFonts w:hint="eastAsia" w:ascii="宋体" w:hAnsi="宋体" w:eastAsia="宋体" w:cs="宋体"/>
          <w:b/>
          <w:bCs/>
          <w:color w:val="000000" w:themeColor="text1"/>
          <w:sz w:val="24"/>
          <w:szCs w:val="24"/>
          <w:u w:val="single"/>
          <w14:textFill>
            <w14:solidFill>
              <w14:schemeClr w14:val="tx1"/>
            </w14:solidFill>
          </w14:textFill>
        </w:rPr>
        <w:t>本项目</w:t>
      </w:r>
      <w:r>
        <w:rPr>
          <w:rFonts w:hint="eastAsia" w:ascii="宋体" w:hAnsi="宋体" w:eastAsia="宋体" w:cs="宋体"/>
          <w:b/>
          <w:bCs/>
          <w:color w:val="000000" w:themeColor="text1"/>
          <w:sz w:val="24"/>
          <w:szCs w:val="24"/>
          <w:u w:val="single"/>
          <w:lang w:eastAsia="zh-CN"/>
          <w14:textFill>
            <w14:solidFill>
              <w14:schemeClr w14:val="tx1"/>
            </w14:solidFill>
          </w14:textFill>
        </w:rPr>
        <w:t>不</w:t>
      </w:r>
      <w:r>
        <w:rPr>
          <w:rFonts w:hint="eastAsia" w:ascii="宋体" w:hAnsi="宋体" w:eastAsia="宋体" w:cs="宋体"/>
          <w:b/>
          <w:bCs/>
          <w:color w:val="000000" w:themeColor="text1"/>
          <w:sz w:val="24"/>
          <w:szCs w:val="24"/>
          <w:u w:val="single"/>
          <w14:textFill>
            <w14:solidFill>
              <w14:schemeClr w14:val="tx1"/>
            </w14:solidFill>
          </w14:textFill>
        </w:rPr>
        <w:t>接受联合体响应</w:t>
      </w:r>
      <w:r>
        <w:rPr>
          <w:rFonts w:hint="eastAsia" w:ascii="宋体" w:hAnsi="宋体" w:eastAsia="宋体" w:cs="宋体"/>
          <w:b/>
          <w:bCs/>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（二）单位负责人为同一人或者存在直接控股、管理关系的不同供应商，不得参加同一合同项（分包）下的政府采购活动。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（三）为采购项目提供整体设计、规范编制或者项目管理、监理、检测等服务的供应商，不得再参加该采购项目的其他采购活动。</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（四）同一合同项（分包）下为单一品目的货物采购中，同一品牌同一型号产品有多家供应商参加谈判，只能按照一家供应商计算。</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（五）同一合同项（分包）下的货物，制造商参与谈判的，不得再委托代理商参与投谈判</w:t>
      </w:r>
      <w:r>
        <w:rPr>
          <w:rFonts w:hint="eastAsia" w:ascii="宋体" w:hAnsi="宋体" w:eastAsia="宋体" w:cs="宋体"/>
          <w:color w:val="000000" w:themeColor="text1"/>
          <w:sz w:val="24"/>
          <w:szCs w:val="24"/>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（六）本项目在响应文件提交截止时间前发布的竞争性谈判文件及补遗文件（如果有）一律在</w:t>
      </w:r>
      <w:r>
        <w:rPr>
          <w:rFonts w:hint="eastAsia" w:ascii="宋体" w:hAnsi="宋体" w:eastAsia="宋体" w:cs="宋体"/>
          <w:color w:val="000000" w:themeColor="text1"/>
          <w:sz w:val="24"/>
          <w:szCs w:val="24"/>
          <w:lang w:eastAsia="zh-CN"/>
          <w14:textFill>
            <w14:solidFill>
              <w14:schemeClr w14:val="tx1"/>
            </w14:solidFill>
          </w14:textFill>
        </w:rPr>
        <w:t>“荣昌区人民医院（http://www.cqrc120.com/）”</w:t>
      </w:r>
      <w:r>
        <w:rPr>
          <w:rFonts w:hint="eastAsia" w:ascii="宋体" w:hAnsi="宋体" w:eastAsia="宋体" w:cs="宋体"/>
          <w:color w:val="000000" w:themeColor="text1"/>
          <w:sz w:val="24"/>
          <w:szCs w:val="24"/>
          <w:lang w:val="en-US" w:eastAsia="zh-CN"/>
          <w14:textFill>
            <w14:solidFill>
              <w14:schemeClr w14:val="tx1"/>
            </w14:solidFill>
          </w14:textFill>
        </w:rPr>
        <w:t>网</w:t>
      </w:r>
      <w:r>
        <w:rPr>
          <w:rFonts w:hint="eastAsia" w:ascii="宋体" w:hAnsi="宋体" w:eastAsia="宋体" w:cs="宋体"/>
          <w:color w:val="000000" w:themeColor="text1"/>
          <w:sz w:val="24"/>
          <w:szCs w:val="24"/>
          <w14:textFill>
            <w14:solidFill>
              <w14:schemeClr w14:val="tx1"/>
            </w14:solidFill>
          </w14:textFill>
        </w:rPr>
        <w:t>上发布，请各供应商注意下载；无论供应商下载与否，均视同供应商已知晓本项目竞争性谈判文件、补遗文件（如果有）的内容。</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（七）超过响应文件截止时间递交的响应文件，恕不接收。</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（八）谈判费用：无论谈判结果如何，供应商参与本项目谈判的所有费用均应由供应商自行承担。</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九）项目实施全过程中，安全问题由成交供应商单位自行负责。</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宋体" w:hAnsi="宋体" w:eastAsia="宋体" w:cs="宋体"/>
          <w:b/>
          <w:bCs w:val="0"/>
          <w:color w:val="000000" w:themeColor="text1"/>
          <w:sz w:val="24"/>
          <w:szCs w:val="24"/>
          <w:lang w:eastAsia="zh-CN"/>
          <w14:textFill>
            <w14:solidFill>
              <w14:schemeClr w14:val="tx1"/>
            </w14:solidFill>
          </w14:textFill>
        </w:rPr>
      </w:pPr>
      <w:bookmarkStart w:id="87" w:name="_Toc4558"/>
      <w:bookmarkStart w:id="88" w:name="_Toc7971"/>
      <w:r>
        <w:rPr>
          <w:rFonts w:hint="eastAsia" w:ascii="宋体" w:hAnsi="宋体" w:eastAsia="宋体" w:cs="宋体"/>
          <w:b/>
          <w:bCs w:val="0"/>
          <w:color w:val="000000" w:themeColor="text1"/>
          <w:sz w:val="24"/>
          <w:szCs w:val="24"/>
          <w:lang w:eastAsia="zh-CN"/>
          <w14:textFill>
            <w14:solidFill>
              <w14:schemeClr w14:val="tx1"/>
            </w14:solidFill>
          </w14:textFill>
        </w:rPr>
        <w:t>八、现场踏勘</w:t>
      </w:r>
      <w:bookmarkEnd w:id="87"/>
      <w:bookmarkEnd w:id="88"/>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本项目不组织集中踏勘现场，由供应商自行踏勘。</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 xml:space="preserve"> 供应商应对现场及周围环境进行踏勘，以充分了解工地位置、情况、道路、储存空间、装卸限制及地方材料等任何其他足以影响承包价的情况，任何因忽视或误解工地情况或出现对施工产生不利影响的情况而导致的索赔或工期延长申请将被拒绝。</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供应商承担现场踏勘的责任和风险。踏勘现场的费用由供应商自行承担，踏勘现场过程中的安全责任由供应商自行负责。</w:t>
      </w:r>
    </w:p>
    <w:p>
      <w:pPr>
        <w:pStyle w:val="5"/>
        <w:pageBreakBefore w:val="0"/>
        <w:widowControl w:val="0"/>
        <w:kinsoku/>
        <w:wordWrap/>
        <w:overflowPunct/>
        <w:topLinePunct w:val="0"/>
        <w:autoSpaceDE/>
        <w:autoSpaceDN/>
        <w:bidi w:val="0"/>
        <w:adjustRightInd/>
        <w:spacing w:before="0" w:after="0" w:line="440" w:lineRule="exact"/>
        <w:textAlignment w:val="auto"/>
        <w:outlineLvl w:val="1"/>
        <w:rPr>
          <w:rFonts w:hint="eastAsia" w:ascii="宋体" w:hAnsi="宋体" w:eastAsia="宋体" w:cs="宋体"/>
          <w:b/>
          <w:bCs w:val="0"/>
          <w:color w:val="000000" w:themeColor="text1"/>
          <w:sz w:val="24"/>
          <w:szCs w:val="24"/>
          <w:lang w:eastAsia="zh-CN"/>
          <w14:textFill>
            <w14:solidFill>
              <w14:schemeClr w14:val="tx1"/>
            </w14:solidFill>
          </w14:textFill>
        </w:rPr>
      </w:pPr>
      <w:bookmarkStart w:id="89" w:name="_Toc19400"/>
      <w:bookmarkStart w:id="90" w:name="_Toc8145"/>
      <w:bookmarkStart w:id="91" w:name="_Toc13165"/>
      <w:r>
        <w:rPr>
          <w:rFonts w:hint="eastAsia" w:ascii="宋体" w:hAnsi="宋体" w:eastAsia="宋体" w:cs="宋体"/>
          <w:b/>
          <w:bCs w:val="0"/>
          <w:color w:val="000000" w:themeColor="text1"/>
          <w:sz w:val="24"/>
          <w:szCs w:val="24"/>
          <w:lang w:eastAsia="zh-CN"/>
          <w14:textFill>
            <w14:solidFill>
              <w14:schemeClr w14:val="tx1"/>
            </w14:solidFill>
          </w14:textFill>
        </w:rPr>
        <w:t>九、联系方式</w:t>
      </w:r>
      <w:bookmarkEnd w:id="89"/>
      <w:bookmarkEnd w:id="90"/>
      <w:bookmarkEnd w:id="91"/>
      <w:bookmarkStart w:id="92" w:name="_Toc102227313"/>
    </w:p>
    <w:p>
      <w:pPr>
        <w:snapToGrid w:val="0"/>
        <w:spacing w:line="480" w:lineRule="exact"/>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bookmarkStart w:id="93" w:name="_Toc19360"/>
      <w:bookmarkStart w:id="94" w:name="_Toc32006"/>
      <w:bookmarkStart w:id="95" w:name="_Toc26341"/>
      <w:bookmarkStart w:id="96" w:name="_Toc32476"/>
      <w:bookmarkStart w:id="97" w:name="_Toc13310"/>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w:t>
      </w:r>
      <w:bookmarkEnd w:id="93"/>
      <w:bookmarkEnd w:id="94"/>
      <w:bookmarkEnd w:id="95"/>
      <w:r>
        <w:rPr>
          <w:rFonts w:hint="eastAsia" w:ascii="宋体" w:hAnsi="宋体" w:cs="宋体"/>
          <w:color w:val="000000" w:themeColor="text1"/>
          <w:sz w:val="24"/>
          <w:szCs w:val="24"/>
          <w:lang w:eastAsia="zh-CN"/>
          <w14:textFill>
            <w14:solidFill>
              <w14:schemeClr w14:val="tx1"/>
            </w14:solidFill>
          </w14:textFill>
        </w:rPr>
        <w:t>监督机构：</w:t>
      </w:r>
      <w:r>
        <w:rPr>
          <w:rFonts w:hint="eastAsia" w:ascii="宋体" w:hAnsi="宋体" w:cs="宋体"/>
          <w:color w:val="000000" w:themeColor="text1"/>
          <w:sz w:val="24"/>
          <w14:textFill>
            <w14:solidFill>
              <w14:schemeClr w14:val="tx1"/>
            </w14:solidFill>
          </w14:textFill>
        </w:rPr>
        <w:t>重庆市荣昌区人民医院纪律检查</w:t>
      </w:r>
      <w:r>
        <w:rPr>
          <w:rFonts w:hint="eastAsia" w:ascii="宋体" w:hAnsi="宋体" w:cs="宋体"/>
          <w:color w:val="000000" w:themeColor="text1"/>
          <w:sz w:val="24"/>
          <w:lang w:eastAsia="zh-CN"/>
          <w14:textFill>
            <w14:solidFill>
              <w14:schemeClr w14:val="tx1"/>
            </w14:solidFill>
          </w14:textFill>
        </w:rPr>
        <w:t>室</w:t>
      </w:r>
    </w:p>
    <w:p>
      <w:pPr>
        <w:snapToGrid w:val="0"/>
        <w:spacing w:line="480" w:lineRule="exact"/>
        <w:ind w:firstLine="1207" w:firstLineChars="503"/>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 系 人</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 xml:space="preserve">诸女士  </w:t>
      </w:r>
      <w:r>
        <w:rPr>
          <w:rFonts w:hint="eastAsia" w:ascii="宋体" w:hAnsi="宋体" w:eastAsia="宋体" w:cs="宋体"/>
          <w:color w:val="000000" w:themeColor="text1"/>
          <w:sz w:val="24"/>
          <w:szCs w:val="24"/>
          <w:lang w:eastAsia="zh-CN"/>
          <w14:textFill>
            <w14:solidFill>
              <w14:schemeClr w14:val="tx1"/>
            </w14:solidFill>
          </w14:textFill>
        </w:rPr>
        <w:t>张女士</w:t>
      </w:r>
    </w:p>
    <w:p>
      <w:pPr>
        <w:snapToGrid w:val="0"/>
        <w:spacing w:line="480" w:lineRule="exact"/>
        <w:ind w:firstLine="1207" w:firstLineChars="503"/>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联系电话：</w:t>
      </w:r>
      <w:r>
        <w:rPr>
          <w:rFonts w:hint="eastAsia" w:ascii="宋体" w:hAnsi="宋体" w:eastAsia="宋体" w:cs="宋体"/>
          <w:color w:val="000000" w:themeColor="text1"/>
          <w:sz w:val="24"/>
          <w:szCs w:val="24"/>
          <w:lang w:val="en-US" w:eastAsia="zh-CN"/>
          <w14:textFill>
            <w14:solidFill>
              <w14:schemeClr w14:val="tx1"/>
            </w14:solidFill>
          </w14:textFill>
        </w:rPr>
        <w:t>023-46331880</w:t>
      </w:r>
    </w:p>
    <w:p>
      <w:pPr>
        <w:snapToGrid w:val="0"/>
        <w:spacing w:line="480" w:lineRule="exact"/>
        <w:ind w:firstLine="1200" w:firstLineChars="5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联系地址</w:t>
      </w:r>
      <w:r>
        <w:rPr>
          <w:rFonts w:hint="eastAsia" w:ascii="宋体" w:hAnsi="宋体" w:eastAsia="宋体" w:cs="宋体"/>
          <w:color w:val="000000" w:themeColor="text1"/>
          <w:sz w:val="24"/>
          <w:szCs w:val="24"/>
          <w:lang w:eastAsia="zh-CN"/>
          <w14:textFill>
            <w14:solidFill>
              <w14:schemeClr w14:val="tx1"/>
            </w14:solidFill>
          </w14:textFill>
        </w:rPr>
        <w:t>：荣昌区人民医院（原老保健院内）</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）采 购 人：重庆市荣昌区人民医院</w:t>
      </w:r>
    </w:p>
    <w:p>
      <w:pPr>
        <w:pageBreakBefore w:val="0"/>
        <w:widowControl w:val="0"/>
        <w:kinsoku/>
        <w:wordWrap/>
        <w:overflowPunct/>
        <w:topLinePunct w:val="0"/>
        <w:autoSpaceDE/>
        <w:autoSpaceDN/>
        <w:bidi w:val="0"/>
        <w:adjustRightInd/>
        <w:snapToGrid w:val="0"/>
        <w:spacing w:line="440" w:lineRule="exact"/>
        <w:ind w:firstLine="1200" w:firstLineChars="5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 系 人：张</w:t>
      </w:r>
      <w:r>
        <w:rPr>
          <w:rFonts w:hint="eastAsia" w:ascii="宋体" w:hAnsi="宋体" w:eastAsia="宋体" w:cs="宋体"/>
          <w:color w:val="000000" w:themeColor="text1"/>
          <w:sz w:val="24"/>
          <w:szCs w:val="24"/>
          <w:lang w:eastAsia="zh-CN"/>
          <w14:textFill>
            <w14:solidFill>
              <w14:schemeClr w14:val="tx1"/>
            </w14:solidFill>
          </w14:textFill>
        </w:rPr>
        <w:t>女士</w:t>
      </w:r>
    </w:p>
    <w:p>
      <w:pPr>
        <w:pageBreakBefore w:val="0"/>
        <w:widowControl w:val="0"/>
        <w:kinsoku/>
        <w:wordWrap/>
        <w:overflowPunct/>
        <w:topLinePunct w:val="0"/>
        <w:autoSpaceDE/>
        <w:autoSpaceDN/>
        <w:bidi w:val="0"/>
        <w:adjustRightInd/>
        <w:snapToGrid w:val="0"/>
        <w:spacing w:line="440" w:lineRule="exact"/>
        <w:ind w:firstLine="1200" w:firstLineChars="5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联系电话：023-46331363</w:t>
      </w:r>
    </w:p>
    <w:p>
      <w:pPr>
        <w:pageBreakBefore w:val="0"/>
        <w:widowControl w:val="0"/>
        <w:kinsoku/>
        <w:wordWrap/>
        <w:overflowPunct/>
        <w:topLinePunct w:val="0"/>
        <w:autoSpaceDE/>
        <w:autoSpaceDN/>
        <w:bidi w:val="0"/>
        <w:adjustRightInd/>
        <w:snapToGrid w:val="0"/>
        <w:spacing w:line="440" w:lineRule="exact"/>
        <w:ind w:firstLine="1200" w:firstLineChars="5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联系地址：重庆市荣昌区广场北路三号</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98" w:name="_Toc15598"/>
      <w:bookmarkStart w:id="99" w:name="_Toc30190"/>
      <w:bookmarkStart w:id="100" w:name="_Toc15713"/>
      <w:r>
        <w:rPr>
          <w:rFonts w:hint="eastAsia" w:ascii="宋体" w:hAnsi="宋体" w:eastAsia="宋体" w:cs="宋体"/>
          <w:color w:val="000000" w:themeColor="text1"/>
          <w:sz w:val="24"/>
          <w:szCs w:val="24"/>
          <w14:textFill>
            <w14:solidFill>
              <w14:schemeClr w14:val="tx1"/>
            </w14:solidFill>
          </w14:textFill>
        </w:rPr>
        <w:t>（三）采购代理机构：重庆优佳工程招标代理有限公司</w:t>
      </w:r>
      <w:bookmarkEnd w:id="98"/>
      <w:bookmarkEnd w:id="99"/>
      <w:bookmarkEnd w:id="100"/>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联</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系</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w:t>
      </w:r>
      <w:r>
        <w:rPr>
          <w:rFonts w:hint="eastAsia" w:ascii="宋体" w:hAnsi="宋体" w:eastAsia="宋体" w:cs="宋体"/>
          <w:color w:val="000000" w:themeColor="text1"/>
          <w:sz w:val="24"/>
          <w:szCs w:val="24"/>
          <w:lang w:val="en-US" w:eastAsia="zh-CN"/>
          <w14:textFill>
            <w14:solidFill>
              <w14:schemeClr w14:val="tx1"/>
            </w14:solidFill>
          </w14:textFill>
        </w:rPr>
        <w:t>段女士</w:t>
      </w:r>
      <w:r>
        <w:rPr>
          <w:rFonts w:hint="eastAsia" w:ascii="宋体" w:hAnsi="宋体" w:eastAsia="宋体" w:cs="宋体"/>
          <w:color w:val="000000" w:themeColor="text1"/>
          <w:sz w:val="24"/>
          <w:szCs w:val="24"/>
          <w14:textFill>
            <w14:solidFill>
              <w14:schemeClr w14:val="tx1"/>
            </w14:solidFill>
          </w14:textFill>
        </w:rPr>
        <w:t xml:space="preserve">   </w:t>
      </w:r>
    </w:p>
    <w:p>
      <w:pPr>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联系电话：023-46338677 </w:t>
      </w:r>
      <w:r>
        <w:rPr>
          <w:rFonts w:hint="eastAsia" w:ascii="宋体" w:hAnsi="宋体" w:eastAsia="宋体" w:cs="宋体"/>
          <w:color w:val="000000" w:themeColor="text1"/>
          <w:sz w:val="24"/>
          <w:szCs w:val="24"/>
          <w:lang w:val="en-US" w:eastAsia="zh-CN"/>
          <w14:textFill>
            <w14:solidFill>
              <w14:schemeClr w14:val="tx1"/>
            </w14:solidFill>
          </w14:textFill>
        </w:rPr>
        <w:t>15320527498</w:t>
      </w:r>
    </w:p>
    <w:p>
      <w:pPr>
        <w:pageBreakBefore w:val="0"/>
        <w:widowControl w:val="0"/>
        <w:kinsoku/>
        <w:wordWrap/>
        <w:overflowPunct/>
        <w:topLinePunct w:val="0"/>
        <w:autoSpaceDE/>
        <w:autoSpaceDN/>
        <w:bidi w:val="0"/>
        <w:adjustRightInd/>
        <w:snapToGrid w:val="0"/>
        <w:spacing w:line="440" w:lineRule="exact"/>
        <w:ind w:firstLine="1200" w:firstLineChars="5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联系地址：重庆市荣昌区创新发展中心10楼17号</w:t>
      </w:r>
    </w:p>
    <w:p>
      <w:pPr>
        <w:rPr>
          <w:rFonts w:hint="eastAsia" w:ascii="宋体" w:hAnsi="宋体" w:eastAsia="宋体" w:cs="宋体"/>
          <w:b/>
          <w:color w:val="000000" w:themeColor="text1"/>
          <w:sz w:val="36"/>
          <w:szCs w:val="30"/>
          <w14:textFill>
            <w14:solidFill>
              <w14:schemeClr w14:val="tx1"/>
            </w14:solidFill>
          </w14:textFill>
        </w:rPr>
      </w:pPr>
      <w:r>
        <w:rPr>
          <w:rFonts w:hint="eastAsia" w:ascii="宋体" w:hAnsi="宋体" w:eastAsia="宋体" w:cs="宋体"/>
          <w:b/>
          <w:color w:val="000000" w:themeColor="text1"/>
          <w:sz w:val="36"/>
          <w:szCs w:val="30"/>
          <w14:textFill>
            <w14:solidFill>
              <w14:schemeClr w14:val="tx1"/>
            </w14:solidFill>
          </w14:textFill>
        </w:rPr>
        <w:br w:type="page"/>
      </w:r>
    </w:p>
    <w:p>
      <w:pPr>
        <w:pStyle w:val="17"/>
        <w:tabs>
          <w:tab w:val="right" w:leader="dot" w:pos="9402"/>
        </w:tabs>
        <w:spacing w:line="480" w:lineRule="exact"/>
        <w:ind w:left="0" w:leftChars="0"/>
        <w:jc w:val="center"/>
        <w:outlineLvl w:val="0"/>
        <w:rPr>
          <w:rFonts w:hint="eastAsia" w:ascii="宋体" w:hAnsi="宋体" w:eastAsia="宋体" w:cs="宋体"/>
          <w:b/>
          <w:color w:val="000000" w:themeColor="text1"/>
          <w:sz w:val="36"/>
          <w:szCs w:val="30"/>
          <w14:textFill>
            <w14:solidFill>
              <w14:schemeClr w14:val="tx1"/>
            </w14:solidFill>
          </w14:textFill>
        </w:rPr>
      </w:pPr>
      <w:bookmarkStart w:id="101" w:name="_Toc7487"/>
      <w:r>
        <w:rPr>
          <w:rFonts w:hint="eastAsia" w:ascii="宋体" w:hAnsi="宋体" w:eastAsia="宋体" w:cs="宋体"/>
          <w:b/>
          <w:color w:val="000000" w:themeColor="text1"/>
          <w:sz w:val="36"/>
          <w:szCs w:val="30"/>
          <w14:textFill>
            <w14:solidFill>
              <w14:schemeClr w14:val="tx1"/>
            </w14:solidFill>
          </w14:textFill>
        </w:rPr>
        <w:t>第二篇  供应商须知</w:t>
      </w:r>
      <w:bookmarkEnd w:id="92"/>
      <w:bookmarkEnd w:id="96"/>
      <w:bookmarkEnd w:id="97"/>
      <w:bookmarkEnd w:id="101"/>
    </w:p>
    <w:p>
      <w:pPr>
        <w:pStyle w:val="5"/>
        <w:pageBreakBefore w:val="0"/>
        <w:widowControl w:val="0"/>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02" w:name="_Toc9030"/>
      <w:bookmarkStart w:id="103" w:name="_Toc19352"/>
      <w:bookmarkStart w:id="104" w:name="_Toc342913389"/>
      <w:bookmarkStart w:id="105" w:name="_Toc31596"/>
      <w:r>
        <w:rPr>
          <w:rFonts w:hint="eastAsia" w:ascii="宋体" w:hAnsi="宋体" w:eastAsia="宋体" w:cs="宋体"/>
          <w:b/>
          <w:bCs w:val="0"/>
          <w:color w:val="000000" w:themeColor="text1"/>
          <w:sz w:val="24"/>
          <w:szCs w:val="24"/>
          <w14:textFill>
            <w14:solidFill>
              <w14:schemeClr w14:val="tx1"/>
            </w14:solidFill>
          </w14:textFill>
        </w:rPr>
        <w:t>一、谈判费用</w:t>
      </w:r>
      <w:bookmarkEnd w:id="102"/>
      <w:bookmarkEnd w:id="103"/>
      <w:bookmarkEnd w:id="104"/>
      <w:bookmarkEnd w:id="105"/>
    </w:p>
    <w:p>
      <w:pPr>
        <w:pStyle w:val="24"/>
        <w:pageBreakBefore w:val="0"/>
        <w:widowControl w:val="0"/>
        <w:kinsoku/>
        <w:wordWrap/>
        <w:overflowPunct/>
        <w:topLinePunct w:val="0"/>
        <w:autoSpaceDE/>
        <w:autoSpaceDN/>
        <w:bidi w:val="0"/>
        <w:adjustRightInd/>
        <w:spacing w:line="460" w:lineRule="exact"/>
        <w:ind w:firstLine="480" w:firstLineChars="200"/>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参与谈判的供应商应承担其编制响应文件与递交响应文件所涉及的一切费用，不论谈判结果如何，采购人和采购代理机构在任何情况下无义务也无责任承担这些费用。</w:t>
      </w:r>
    </w:p>
    <w:p>
      <w:pPr>
        <w:pStyle w:val="5"/>
        <w:pageBreakBefore w:val="0"/>
        <w:widowControl w:val="0"/>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06" w:name="_Toc16849"/>
      <w:bookmarkStart w:id="107" w:name="_Toc30769"/>
      <w:bookmarkStart w:id="108" w:name="_Toc1034"/>
      <w:bookmarkStart w:id="109" w:name="_Toc342913391"/>
      <w:r>
        <w:rPr>
          <w:rFonts w:hint="eastAsia" w:ascii="宋体" w:hAnsi="宋体" w:eastAsia="宋体" w:cs="宋体"/>
          <w:b/>
          <w:bCs w:val="0"/>
          <w:color w:val="000000" w:themeColor="text1"/>
          <w:sz w:val="24"/>
          <w:szCs w:val="24"/>
          <w14:textFill>
            <w14:solidFill>
              <w14:schemeClr w14:val="tx1"/>
            </w14:solidFill>
          </w14:textFill>
        </w:rPr>
        <w:t>二、竞争性谈判文件</w:t>
      </w:r>
      <w:bookmarkEnd w:id="106"/>
      <w:bookmarkEnd w:id="107"/>
      <w:bookmarkEnd w:id="108"/>
      <w:bookmarkEnd w:id="109"/>
      <w:r>
        <w:rPr>
          <w:rFonts w:hint="eastAsia" w:ascii="宋体" w:hAnsi="宋体" w:eastAsia="宋体" w:cs="宋体"/>
          <w:b/>
          <w:bCs w:val="0"/>
          <w:color w:val="000000" w:themeColor="text1"/>
          <w:sz w:val="24"/>
          <w:szCs w:val="24"/>
          <w14:textFill>
            <w14:solidFill>
              <w14:schemeClr w14:val="tx1"/>
            </w14:solidFill>
          </w14:textFill>
        </w:rPr>
        <w:tab/>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1、竞争性谈判文件由竞争性谈判邀请书、供应商须知、谈判项目技术需求、谈判项目服务需求、合同草案条款、响应文件格式要求六部分组成。</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2、采购人（或采购代理机构）所作的一切有效的修改及补充，都是竞争性谈判文件不可分割的部分。</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3、竞争性谈判文件的解释</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如对竞争性谈判文件有疑问，必须以书面形式在谈判截止时间1个工作日前向采购人（或采购代理机构）要求澄清，采购人（或采购代理机构）可视具体情况做出处理或答复。如供应商未提出疑问，视为完全理解并同意本竞争性谈判文件。一经进入谈判程序，即视为供应商已详细阅读全部文件资料，完全理解竞争性谈判文件所有条款内容并同意放弃对这方面有不明白及误解的权利。</w:t>
      </w:r>
      <w:bookmarkStart w:id="110" w:name="_Toc318159160"/>
      <w:bookmarkStart w:id="111" w:name="_Toc318159780"/>
      <w:bookmarkStart w:id="112" w:name="_Toc318159349"/>
      <w:bookmarkStart w:id="113" w:name="_Toc318166429"/>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4、本竞争性谈判文件中，谈判小组根据与供应商谈判情况可能实质性变动的内容为竞争性谈判文件第三、四、五篇全部内容。</w:t>
      </w:r>
    </w:p>
    <w:bookmarkEnd w:id="110"/>
    <w:bookmarkEnd w:id="111"/>
    <w:bookmarkEnd w:id="112"/>
    <w:bookmarkEnd w:id="113"/>
    <w:p>
      <w:pPr>
        <w:pStyle w:val="5"/>
        <w:pageBreakBefore w:val="0"/>
        <w:widowControl w:val="0"/>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14" w:name="_Toc28757"/>
      <w:bookmarkStart w:id="115" w:name="_Toc24222"/>
      <w:bookmarkStart w:id="116" w:name="_Toc102227318"/>
      <w:bookmarkStart w:id="117" w:name="_Toc342913392"/>
      <w:bookmarkStart w:id="118" w:name="_Toc179714297"/>
      <w:bookmarkStart w:id="119" w:name="_Toc19752"/>
      <w:r>
        <w:rPr>
          <w:rFonts w:hint="eastAsia" w:ascii="宋体" w:hAnsi="宋体" w:eastAsia="宋体" w:cs="宋体"/>
          <w:b/>
          <w:bCs w:val="0"/>
          <w:color w:val="000000" w:themeColor="text1"/>
          <w:sz w:val="24"/>
          <w:szCs w:val="24"/>
          <w14:textFill>
            <w14:solidFill>
              <w14:schemeClr w14:val="tx1"/>
            </w14:solidFill>
          </w14:textFill>
        </w:rPr>
        <w:t>三、谈判要求</w:t>
      </w:r>
      <w:bookmarkEnd w:id="114"/>
      <w:bookmarkEnd w:id="115"/>
      <w:bookmarkEnd w:id="116"/>
      <w:bookmarkEnd w:id="117"/>
      <w:bookmarkEnd w:id="118"/>
      <w:bookmarkEnd w:id="119"/>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1、响应文件</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供应商应当按照竞争性谈判文件的要求编制响应文件，并对竞争性谈判文件提出的要求和条件作出实质性响应，响应文件原则上采用软面订本，同时应编制完整的页码、目录。</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1.1响应文件组成</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2联合体</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1.2.1两个以上供应商可以组成一个联合体，以一个供应商的身份共同参与谈判。</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1.2.2以联合体形式参加谈判的，联合体各方均应满足供应商资格条件（详见“第一篇”）联合体中有同类资质的供应商按照联合体分工承担相同工作的，应当按照资质等级较低的供应商确定资质等级。</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1.2.3联合体各方之间应当签订共同联合协议，共同联合协议中应确定主办方（主体），代表联合体进行谈判和澄清。共同联合协议应明确约定联合体各方承担的工作和相应的责任及协议合同金额，并将共同联合协议连同响应文件一并提交采购人和采购代理机构。</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1.2.4以联合体形式参加政府采购活动的，联合体各方不得再单独参加或者与其他供应商另外组成联合体参加同一合同项下的政府采购活动。</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1.2.5供应商为联合体的，可以由联合体中的一方或者多方共同交纳保证金，其交纳的保证金对联合体各方均具有约束力。</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1.2.6联合体业绩计算，按照共同联合协议分工认定。</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1.2.7以联合体形式参加谈判的，联合体各方均应提供：“参加政府采购活动前三年内，在经营活动中没有重大违法记录”的书面声明、信用中国网站（www.creditchina.gov.cn）“信用信息”（包括“失信被执行人”及“重大税收违法案件当事人名单”）及“政府行政许可与行政处罚”查询结果以及中国政府采购网（www.ccgp.gov.cn）“政府采购严重违法失信行为纪录名单”查询结果（上述两个网站查询结果网页打印件并加盖供应商公章）。查询时间为本项目采购公告发布之日起至递交响应文件截止时间前。</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1.3</w:t>
      </w:r>
      <w:r>
        <w:rPr>
          <w:rFonts w:hint="eastAsia" w:ascii="宋体" w:hAnsi="宋体" w:eastAsia="宋体" w:cs="宋体"/>
          <w:color w:val="000000" w:themeColor="text1"/>
          <w:sz w:val="24"/>
          <w:szCs w:val="24"/>
          <w14:textFill>
            <w14:solidFill>
              <w14:schemeClr w14:val="tx1"/>
            </w14:solidFill>
          </w14:textFill>
        </w:rPr>
        <w:t>谈判有效期：响应文件及有关承诺文件有效期为谈判开始时间起90天。</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2、保证金：</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2.1供应商提交保证金金额和方式详见“第一篇  五、保证金”；</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2.2发生以下情况之一者，保证金不予退还：</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2.2.1供应商在提交响应文件截止时间后撤回响应文件的；</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2.2.2供应商在响应文件中提供虚假材料的；</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2.2.3除因不可抗力或竞争性谈判文件认可的情形以外，成交供应商不与采购人签订合同的；</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2.2.4供应商与采购人、其他供应商或者采购代理机构恶意串通的；</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2.2.5成交供应商不按规定的时间或拒绝按成交状态签订合同（即不按照采购文件确定的合同文本以及采购标的、规格型号、采购金额、采购数量、技术和服务要求等事项签订政府采购合同的）。</w:t>
      </w:r>
    </w:p>
    <w:p>
      <w:pPr>
        <w:pageBreakBefore w:val="0"/>
        <w:widowControl w:val="0"/>
        <w:numPr>
          <w:ilvl w:val="0"/>
          <w:numId w:val="1"/>
        </w:numPr>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报价要求</w:t>
      </w:r>
    </w:p>
    <w:p>
      <w:pPr>
        <w:pageBreakBefore w:val="0"/>
        <w:widowControl w:val="0"/>
        <w:numPr>
          <w:ilvl w:val="0"/>
          <w:numId w:val="0"/>
        </w:numPr>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1本</w:t>
      </w:r>
      <w:r>
        <w:rPr>
          <w:rFonts w:hint="eastAsia" w:ascii="宋体" w:hAnsi="宋体" w:cs="宋体"/>
          <w:color w:val="000000" w:themeColor="text1"/>
          <w:sz w:val="24"/>
          <w:szCs w:val="24"/>
          <w:highlight w:val="none"/>
          <w:lang w:eastAsia="zh-CN"/>
          <w14:textFill>
            <w14:solidFill>
              <w14:schemeClr w14:val="tx1"/>
            </w14:solidFill>
          </w14:textFill>
        </w:rPr>
        <w:t>项目</w:t>
      </w:r>
      <w:r>
        <w:rPr>
          <w:rFonts w:hint="eastAsia" w:ascii="宋体" w:hAnsi="宋体" w:eastAsia="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的</w:t>
      </w:r>
      <w:r>
        <w:rPr>
          <w:rFonts w:hint="eastAsia" w:ascii="宋体" w:hAnsi="宋体" w:eastAsia="宋体" w:cs="宋体"/>
          <w:color w:val="000000" w:themeColor="text1"/>
          <w:sz w:val="24"/>
          <w:szCs w:val="24"/>
          <w:highlight w:val="none"/>
          <w:lang w:eastAsia="zh-CN"/>
          <w14:textFill>
            <w14:solidFill>
              <w14:schemeClr w14:val="tx1"/>
            </w14:solidFill>
          </w14:textFill>
        </w:rPr>
        <w:t>响应</w:t>
      </w:r>
      <w:r>
        <w:rPr>
          <w:rFonts w:hint="eastAsia" w:ascii="宋体" w:hAnsi="宋体" w:eastAsia="宋体" w:cs="宋体"/>
          <w:color w:val="000000" w:themeColor="text1"/>
          <w:sz w:val="24"/>
          <w:szCs w:val="24"/>
          <w:highlight w:val="none"/>
          <w14:textFill>
            <w14:solidFill>
              <w14:schemeClr w14:val="tx1"/>
            </w14:solidFill>
          </w14:textFill>
        </w:rPr>
        <w:t>总报价不得超过采购人发布的最高限价，否则，将被认定为</w:t>
      </w:r>
      <w:r>
        <w:rPr>
          <w:rFonts w:hint="eastAsia" w:ascii="宋体" w:hAnsi="宋体" w:eastAsia="宋体" w:cs="宋体"/>
          <w:color w:val="000000" w:themeColor="text1"/>
          <w:sz w:val="24"/>
          <w:szCs w:val="24"/>
          <w:highlight w:val="none"/>
          <w:lang w:eastAsia="zh-CN"/>
          <w14:textFill>
            <w14:solidFill>
              <w14:schemeClr w14:val="tx1"/>
            </w14:solidFill>
          </w14:textFill>
        </w:rPr>
        <w:t>无效响应</w:t>
      </w:r>
      <w:r>
        <w:rPr>
          <w:rFonts w:hint="eastAsia" w:ascii="宋体" w:hAnsi="宋体" w:eastAsia="宋体" w:cs="宋体"/>
          <w:color w:val="000000" w:themeColor="text1"/>
          <w:sz w:val="24"/>
          <w:szCs w:val="24"/>
          <w:highlight w:val="none"/>
          <w14:textFill>
            <w14:solidFill>
              <w14:schemeClr w14:val="tx1"/>
            </w14:solidFill>
          </w14:textFill>
        </w:rPr>
        <w:t>。</w:t>
      </w:r>
    </w:p>
    <w:p>
      <w:pPr>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2本次</w:t>
      </w:r>
      <w:r>
        <w:rPr>
          <w:rFonts w:hint="eastAsia" w:ascii="宋体" w:hAnsi="宋体" w:eastAsia="宋体" w:cs="宋体"/>
          <w:color w:val="000000" w:themeColor="text1"/>
          <w:sz w:val="24"/>
          <w:szCs w:val="24"/>
          <w:highlight w:val="none"/>
          <w:lang w:eastAsia="zh-CN"/>
          <w14:textFill>
            <w14:solidFill>
              <w14:schemeClr w14:val="tx1"/>
            </w14:solidFill>
          </w14:textFill>
        </w:rPr>
        <w:t>响应</w:t>
      </w:r>
      <w:r>
        <w:rPr>
          <w:rFonts w:hint="eastAsia" w:ascii="宋体" w:hAnsi="宋体" w:eastAsia="宋体" w:cs="宋体"/>
          <w:color w:val="000000" w:themeColor="text1"/>
          <w:sz w:val="24"/>
          <w:szCs w:val="24"/>
          <w:highlight w:val="none"/>
          <w14:textFill>
            <w14:solidFill>
              <w14:schemeClr w14:val="tx1"/>
            </w14:solidFill>
          </w14:textFill>
        </w:rPr>
        <w:t>报价须为人民币报价。</w:t>
      </w:r>
      <w:r>
        <w:rPr>
          <w:rFonts w:hint="eastAsia" w:ascii="宋体" w:hAnsi="宋体" w:eastAsia="宋体" w:cs="宋体"/>
          <w:color w:val="000000" w:themeColor="text1"/>
          <w:sz w:val="24"/>
          <w:szCs w:val="24"/>
          <w:highlight w:val="none"/>
          <w:lang w:val="en-US" w:eastAsia="zh-CN"/>
          <w14:textFill>
            <w14:solidFill>
              <w14:schemeClr w14:val="tx1"/>
            </w14:solidFill>
          </w14:textFill>
        </w:rPr>
        <w:t>响应报价包含但不限于以下费用：产品费（含软件及系统集成调试费）、运输费（含装卸费）、保险费、</w:t>
      </w:r>
      <w:r>
        <w:rPr>
          <w:rFonts w:hint="eastAsia" w:ascii="宋体" w:hAnsi="宋体" w:eastAsia="宋体" w:cs="宋体"/>
          <w:color w:val="000000" w:themeColor="text1"/>
          <w:sz w:val="24"/>
          <w:szCs w:val="24"/>
          <w:lang w:val="en-US" w:eastAsia="zh-CN"/>
          <w14:textFill>
            <w14:solidFill>
              <w14:schemeClr w14:val="tx1"/>
            </w14:solidFill>
          </w14:textFill>
        </w:rPr>
        <w:t>旧设备的拆除</w:t>
      </w:r>
      <w:r>
        <w:rPr>
          <w:rFonts w:hint="eastAsia" w:ascii="宋体" w:hAnsi="宋体" w:cs="宋体"/>
          <w:color w:val="000000" w:themeColor="text1"/>
          <w:sz w:val="24"/>
          <w:szCs w:val="24"/>
          <w:lang w:val="en-US" w:eastAsia="zh-CN"/>
          <w14:textFill>
            <w14:solidFill>
              <w14:schemeClr w14:val="tx1"/>
            </w14:solidFill>
          </w14:textFill>
        </w:rPr>
        <w:t>费、</w:t>
      </w:r>
      <w:r>
        <w:rPr>
          <w:rFonts w:hint="eastAsia" w:ascii="宋体" w:hAnsi="宋体" w:eastAsia="宋体" w:cs="宋体"/>
          <w:color w:val="000000" w:themeColor="text1"/>
          <w:sz w:val="24"/>
          <w:szCs w:val="24"/>
          <w:highlight w:val="none"/>
          <w:lang w:val="en-US" w:eastAsia="zh-CN"/>
          <w14:textFill>
            <w14:solidFill>
              <w14:schemeClr w14:val="tx1"/>
            </w14:solidFill>
          </w14:textFill>
        </w:rPr>
        <w:t>安装调试费、系统割接费、第三方检测机构全系统检测费、二次深化设计费、规费、税费、培训费、人工费、施工配合费、质保期内的售后服务费、备品备件及易损件费、专用工具费以及编制施工方案、现场勘查等项目建设涉及的所有费用。所有在响应文件中没有显示出来，但在本项目要求中所提及的设备、材料，必须全部包括在本项目范围内，没有明确说明，但在整体设备安装时，不能缺少的一切附属配件，亦应包括在本项目范围内，均由成交供应商供应和安装调试，所产生的费用均应包含在响应报价中。</w:t>
      </w:r>
    </w:p>
    <w:p>
      <w:pPr>
        <w:pageBreakBefore w:val="0"/>
        <w:widowControl w:val="0"/>
        <w:numPr>
          <w:ilvl w:val="0"/>
          <w:numId w:val="0"/>
        </w:numPr>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3.3因成交供应商自身原因造成漏报、少报皆由其自行承担责任，采购人不再补偿。</w:t>
      </w:r>
    </w:p>
    <w:p>
      <w:pPr>
        <w:pageBreakBefore w:val="0"/>
        <w:widowControl w:val="0"/>
        <w:numPr>
          <w:ilvl w:val="0"/>
          <w:numId w:val="1"/>
        </w:numPr>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修正错误</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若供应商所递交的响应文件或最后报价中的价格出现大写金额和小写金额不一致的错误，以大写金额修正为准。</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谈判小组按上述修正错误的原则及方法修正供应商的报价，供应商同意并签字确认后，修正后的报价对供应商具有约束作用。如果供应商不接受修正后的价格，将失去成为成交供应商的资格。</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、提交响应文件的份数和签署</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.1响应文件一式</w:t>
      </w:r>
      <w:r>
        <w:rPr>
          <w:rFonts w:hint="eastAsia" w:ascii="宋体" w:hAnsi="宋体" w:eastAsia="宋体" w:cs="宋体"/>
          <w:color w:val="000000" w:themeColor="text1"/>
          <w:sz w:val="24"/>
          <w:szCs w:val="24"/>
          <w:lang w:eastAsia="zh-CN"/>
          <w14:textFill>
            <w14:solidFill>
              <w14:schemeClr w14:val="tx1"/>
            </w14:solidFill>
          </w14:textFill>
        </w:rPr>
        <w:t>四</w:t>
      </w:r>
      <w:r>
        <w:rPr>
          <w:rFonts w:hint="eastAsia" w:ascii="宋体" w:hAnsi="宋体" w:eastAsia="宋体" w:cs="宋体"/>
          <w:color w:val="000000" w:themeColor="text1"/>
          <w:sz w:val="24"/>
          <w:szCs w:val="24"/>
          <w14:textFill>
            <w14:solidFill>
              <w14:schemeClr w14:val="tx1"/>
            </w14:solidFill>
          </w14:textFill>
        </w:rPr>
        <w:t>份，其中正本一份，副本</w:t>
      </w:r>
      <w:r>
        <w:rPr>
          <w:rFonts w:hint="eastAsia" w:ascii="宋体" w:hAnsi="宋体" w:eastAsia="宋体" w:cs="宋体"/>
          <w:color w:val="000000" w:themeColor="text1"/>
          <w:sz w:val="24"/>
          <w:szCs w:val="24"/>
          <w:lang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份，电子文档一份（电子文档内容应与投标文件正本一致，推荐采用U盘为文件载体）；每套纸质文件须在封面清楚地标明“正本”、“副本”或“电子文档”，副本应为正本的完整复印件，副本与正本不一致时以正本为准。响应文件电子文档与纸质响应文件正本不一致时，以纸质响应文件正本为准。</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.2在响应文件正本中，竞争性谈判文件第六篇响应文件格式中规定签字、盖章的地方必须按其规定签字、盖章。响应文件正本须加盖供应商公章。</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、响应文件的递交</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.1响应文件的密封与标记</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响应文件的正本、副本均应密封送达谈判地点，应在封套上注明项目名称、投标人名称。若正本、副本、电子文档分别进行密封的，还应在封套上注明“正本”、“副本”、“电子文档”字样。封套的封口处应加盖响应人公章或由法定代表人授权代表签字。</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.2响应文件投递截止时间：参阅竞争性谈判邀请书。</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、响应文件语言：简体中文</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、供应商参与人员</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各个供应商可派1-2名代表参与谈判，至少1人应为法定代表人或具有法定代表人授权委托书的授权代表。</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、无效谈判</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供应商发生以下条款情况之一者，视为无效谈判，其响应文件将被拒绝：</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.1不符合规定的基本资格条件或特定资格条件；</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.2法定代表人或其授权代表未参加谈判；</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.3供应商未按照竞争性谈判文件的要求缴纳保证金；</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.4响应文件不按规定签字、盖章；</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.5最后报价超过采购预算；</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.6供应商响应文件内容有与国家现行法律法规相违背的内容，或附有采购人无法接受的条件。</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120" w:name="_Toc308029822"/>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.7除按照采购文件规定提交备选标的以外，供应商同时提交两份或者多份内容不同的响应文件，或者在同一份响应文件中对同一采购内容报有两个或者多个报价，</w:t>
      </w:r>
      <w:bookmarkEnd w:id="120"/>
      <w:bookmarkStart w:id="121" w:name="_Toc308029823"/>
      <w:r>
        <w:rPr>
          <w:rFonts w:hint="eastAsia" w:ascii="宋体" w:hAnsi="宋体" w:eastAsia="宋体" w:cs="宋体"/>
          <w:color w:val="000000" w:themeColor="text1"/>
          <w:sz w:val="24"/>
          <w:szCs w:val="24"/>
          <w14:textFill>
            <w14:solidFill>
              <w14:schemeClr w14:val="tx1"/>
            </w14:solidFill>
          </w14:textFill>
        </w:rPr>
        <w:t>并未声明以哪个报价为准的</w:t>
      </w:r>
      <w:bookmarkEnd w:id="121"/>
      <w:bookmarkStart w:id="122" w:name="_Toc308029824"/>
      <w:r>
        <w:rPr>
          <w:rFonts w:hint="eastAsia" w:ascii="宋体" w:hAnsi="宋体" w:eastAsia="宋体" w:cs="宋体"/>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.8供应商未按采购文件要求编制响应文件的</w:t>
      </w:r>
      <w:bookmarkEnd w:id="122"/>
      <w:r>
        <w:rPr>
          <w:rFonts w:hint="eastAsia" w:ascii="宋体" w:hAnsi="宋体" w:eastAsia="宋体" w:cs="宋体"/>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123" w:name="_Toc308029826"/>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.9已标价工程量清单及组价文件汇总金额与竞争性报价函报价不一致的</w:t>
      </w:r>
      <w:bookmarkEnd w:id="123"/>
      <w:bookmarkStart w:id="124" w:name="_Toc308029827"/>
      <w:r>
        <w:rPr>
          <w:rFonts w:hint="eastAsia" w:ascii="宋体" w:hAnsi="宋体" w:eastAsia="宋体" w:cs="宋体"/>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.10供应商谈判报价总报价或者清单报价中任何一项超过最高限价的</w:t>
      </w:r>
      <w:bookmarkEnd w:id="124"/>
      <w:r>
        <w:rPr>
          <w:rFonts w:hint="eastAsia" w:ascii="宋体" w:hAnsi="宋体" w:eastAsia="宋体" w:cs="宋体"/>
          <w:color w:val="000000" w:themeColor="text1"/>
          <w:sz w:val="24"/>
          <w:szCs w:val="24"/>
          <w14:textFill>
            <w14:solidFill>
              <w14:schemeClr w14:val="tx1"/>
            </w14:solidFill>
          </w14:textFill>
        </w:rPr>
        <w:t>。</w:t>
      </w:r>
      <w:bookmarkStart w:id="125" w:name="_Toc308029828"/>
    </w:p>
    <w:bookmarkEnd w:id="125"/>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126" w:name="_Toc308029830"/>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供应商报价明显低于预算市场价，而供应商又不能证明其合理性的</w:t>
      </w:r>
      <w:bookmarkEnd w:id="126"/>
      <w:bookmarkStart w:id="127" w:name="_Toc308029833"/>
      <w:r>
        <w:rPr>
          <w:rFonts w:hint="eastAsia" w:ascii="宋体" w:hAnsi="宋体" w:eastAsia="宋体" w:cs="宋体"/>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响应工期超过采购文件规定的工期的</w:t>
      </w:r>
      <w:bookmarkEnd w:id="127"/>
      <w:bookmarkStart w:id="128" w:name="_Toc308029834"/>
      <w:r>
        <w:rPr>
          <w:rFonts w:hint="eastAsia" w:ascii="宋体" w:hAnsi="宋体" w:eastAsia="宋体" w:cs="宋体"/>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129" w:name="_Toc308029851"/>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响应文件未实质性响应采购文件的要求和条件属于重大偏差，凡经谈判小组认定有重大偏差的响应文件，该响应文件为无效响应文件，谈判小组认定为无效</w:t>
      </w:r>
      <w:bookmarkEnd w:id="129"/>
      <w:bookmarkStart w:id="130" w:name="_Toc308029852"/>
      <w:r>
        <w:rPr>
          <w:rFonts w:hint="eastAsia" w:ascii="宋体" w:hAnsi="宋体" w:eastAsia="宋体" w:cs="宋体"/>
          <w:color w:val="000000" w:themeColor="text1"/>
          <w:sz w:val="24"/>
          <w:szCs w:val="24"/>
          <w14:textFill>
            <w14:solidFill>
              <w14:schemeClr w14:val="tx1"/>
            </w14:solidFill>
          </w14:textFill>
        </w:rPr>
        <w:t>的响应文件的不再进行详细评审。</w:t>
      </w:r>
      <w:bookmarkEnd w:id="130"/>
    </w:p>
    <w:bookmarkEnd w:id="128"/>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131" w:name="_Toc308029837"/>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响应文件中法定代表人印章与验证的法定代表人姓名不一致的，或者</w:t>
      </w:r>
      <w:bookmarkEnd w:id="131"/>
      <w:bookmarkStart w:id="132" w:name="_Toc308029838"/>
      <w:r>
        <w:rPr>
          <w:rFonts w:hint="eastAsia" w:ascii="宋体" w:hAnsi="宋体" w:eastAsia="宋体" w:cs="宋体"/>
          <w:color w:val="000000" w:themeColor="text1"/>
          <w:sz w:val="24"/>
          <w:szCs w:val="24"/>
          <w14:textFill>
            <w14:solidFill>
              <w14:schemeClr w14:val="tx1"/>
            </w14:solidFill>
          </w14:textFill>
        </w:rPr>
        <w:t>供应商法定（委托）授权代表人没有合法、有效的委托（授权）书（原件）的</w:t>
      </w:r>
      <w:bookmarkEnd w:id="132"/>
      <w:bookmarkStart w:id="133" w:name="_Toc308029839"/>
      <w:r>
        <w:rPr>
          <w:rFonts w:hint="eastAsia" w:ascii="宋体" w:hAnsi="宋体" w:eastAsia="宋体" w:cs="宋体"/>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谈判时供应商出具或应出具的各种证件不符合采购文件要求的</w:t>
      </w:r>
      <w:bookmarkEnd w:id="133"/>
      <w:bookmarkStart w:id="134" w:name="_Toc308029843"/>
      <w:r>
        <w:rPr>
          <w:rFonts w:hint="eastAsia" w:ascii="宋体" w:hAnsi="宋体" w:eastAsia="宋体" w:cs="宋体"/>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采购文件中要求的响应文件的几个组成部分的任一部分被认定为无效的</w:t>
      </w:r>
      <w:bookmarkEnd w:id="134"/>
      <w:bookmarkStart w:id="135" w:name="_Toc308029844"/>
      <w:r>
        <w:rPr>
          <w:rFonts w:hint="eastAsia" w:ascii="宋体" w:hAnsi="宋体" w:eastAsia="宋体" w:cs="宋体"/>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响应文件附有采购人不能接受的条件的</w:t>
      </w:r>
      <w:bookmarkEnd w:id="135"/>
      <w:bookmarkStart w:id="136" w:name="_Toc308029845"/>
      <w:r>
        <w:rPr>
          <w:rFonts w:hint="eastAsia" w:ascii="宋体" w:hAnsi="宋体" w:eastAsia="宋体" w:cs="宋体"/>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18</w:t>
      </w:r>
      <w:r>
        <w:rPr>
          <w:rFonts w:hint="eastAsia" w:ascii="宋体" w:hAnsi="宋体" w:eastAsia="宋体" w:cs="宋体"/>
          <w:color w:val="000000" w:themeColor="text1"/>
          <w:sz w:val="24"/>
          <w:szCs w:val="24"/>
          <w14:textFill>
            <w14:solidFill>
              <w14:schemeClr w14:val="tx1"/>
            </w14:solidFill>
          </w14:textFill>
        </w:rPr>
        <w:t>响应文件内容不全或字迹模糊辨认不清，影响评审、定标的</w:t>
      </w:r>
      <w:bookmarkEnd w:id="136"/>
      <w:bookmarkStart w:id="137" w:name="_Toc308029847"/>
      <w:r>
        <w:rPr>
          <w:rFonts w:hint="eastAsia" w:ascii="宋体" w:hAnsi="宋体" w:eastAsia="宋体" w:cs="宋体"/>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19</w:t>
      </w:r>
      <w:r>
        <w:rPr>
          <w:rFonts w:hint="eastAsia" w:ascii="宋体" w:hAnsi="宋体" w:eastAsia="宋体" w:cs="宋体"/>
          <w:color w:val="000000" w:themeColor="text1"/>
          <w:sz w:val="24"/>
          <w:szCs w:val="24"/>
          <w14:textFill>
            <w14:solidFill>
              <w14:schemeClr w14:val="tx1"/>
            </w14:solidFill>
          </w14:textFill>
        </w:rPr>
        <w:t>评审过程中，采购人或谈判小组发现供应商以他人名义响应、串通响应、欺诈、威胁、以行贿手段或其他弄虚作假方式谋取成为成交供应商的、采取可能影响评审公正性的</w:t>
      </w:r>
      <w:bookmarkEnd w:id="137"/>
      <w:bookmarkStart w:id="138" w:name="_Toc308029848"/>
      <w:r>
        <w:rPr>
          <w:rFonts w:hint="eastAsia" w:ascii="宋体" w:hAnsi="宋体" w:eastAsia="宋体" w:cs="宋体"/>
          <w:color w:val="000000" w:themeColor="text1"/>
          <w:sz w:val="24"/>
          <w:szCs w:val="24"/>
          <w14:textFill>
            <w14:solidFill>
              <w14:schemeClr w14:val="tx1"/>
            </w14:solidFill>
          </w14:textFill>
        </w:rPr>
        <w:t>不正当手段的</w:t>
      </w:r>
      <w:bookmarkEnd w:id="138"/>
      <w:bookmarkStart w:id="139" w:name="_Toc308029849"/>
      <w:r>
        <w:rPr>
          <w:rFonts w:hint="eastAsia" w:ascii="宋体" w:hAnsi="宋体" w:eastAsia="宋体" w:cs="宋体"/>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0</w:t>
      </w:r>
      <w:r>
        <w:rPr>
          <w:rFonts w:hint="eastAsia" w:ascii="宋体" w:hAnsi="宋体" w:eastAsia="宋体" w:cs="宋体"/>
          <w:color w:val="000000" w:themeColor="text1"/>
          <w:sz w:val="24"/>
          <w:szCs w:val="24"/>
          <w14:textFill>
            <w14:solidFill>
              <w14:schemeClr w14:val="tx1"/>
            </w14:solidFill>
          </w14:textFill>
        </w:rPr>
        <w:t>出现影响采购公正的违法、违规行为的</w:t>
      </w:r>
      <w:bookmarkEnd w:id="139"/>
      <w:bookmarkStart w:id="140" w:name="_Toc308029850"/>
      <w:r>
        <w:rPr>
          <w:rFonts w:hint="eastAsia" w:ascii="宋体" w:hAnsi="宋体" w:eastAsia="宋体" w:cs="宋体"/>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法律法规和采购文件规定的其它无效响应情形</w:t>
      </w:r>
      <w:bookmarkEnd w:id="140"/>
      <w:r>
        <w:rPr>
          <w:rFonts w:hint="eastAsia" w:ascii="宋体" w:hAnsi="宋体" w:eastAsia="宋体" w:cs="宋体"/>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141" w:name="_Toc28996"/>
      <w:bookmarkStart w:id="142" w:name="_Toc10398"/>
      <w:bookmarkStart w:id="143" w:name="_Toc22175"/>
      <w:r>
        <w:rPr>
          <w:rFonts w:hint="eastAsia" w:ascii="宋体" w:hAnsi="宋体" w:eastAsia="宋体" w:cs="宋体"/>
          <w:color w:val="000000" w:themeColor="text1"/>
          <w:sz w:val="24"/>
          <w:szCs w:val="24"/>
          <w:lang w:val="en-US" w:eastAsia="zh-CN"/>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、采购代理服务费</w:t>
      </w:r>
      <w:bookmarkEnd w:id="141"/>
      <w:bookmarkEnd w:id="142"/>
      <w:bookmarkEnd w:id="143"/>
    </w:p>
    <w:p>
      <w:pPr>
        <w:pageBreakBefore w:val="0"/>
        <w:widowControl w:val="0"/>
        <w:kinsoku/>
        <w:wordWrap/>
        <w:overflowPunct/>
        <w:topLinePunct w:val="0"/>
        <w:autoSpaceDE/>
        <w:autoSpaceDN/>
        <w:bidi w:val="0"/>
        <w:adjustRightIn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供应商成交后在领取成交通知书前向采购代理机构缴纳采购代理服务费，采购代理服务费的收取标准按照以下标准执行</w:t>
      </w:r>
      <w:r>
        <w:rPr>
          <w:rFonts w:hint="eastAsia" w:ascii="宋体" w:hAnsi="宋体" w:eastAsia="宋体" w:cs="宋体"/>
          <w:color w:val="000000" w:themeColor="text1"/>
          <w:sz w:val="24"/>
          <w:szCs w:val="24"/>
          <w:lang w:eastAsia="zh-CN"/>
          <w14:textFill>
            <w14:solidFill>
              <w14:schemeClr w14:val="tx1"/>
            </w14:solidFill>
          </w14:textFill>
        </w:rPr>
        <w:t>，不足</w:t>
      </w:r>
      <w:r>
        <w:rPr>
          <w:rFonts w:hint="eastAsia" w:ascii="宋体" w:hAnsi="宋体" w:eastAsia="宋体" w:cs="宋体"/>
          <w:color w:val="000000" w:themeColor="text1"/>
          <w:sz w:val="24"/>
          <w:szCs w:val="24"/>
          <w:lang w:val="en-US" w:eastAsia="zh-CN"/>
          <w14:textFill>
            <w14:solidFill>
              <w14:schemeClr w14:val="tx1"/>
            </w14:solidFill>
          </w14:textFill>
        </w:rPr>
        <w:t>3000元按3000元收取</w:t>
      </w:r>
      <w:r>
        <w:rPr>
          <w:rFonts w:hint="eastAsia" w:ascii="宋体" w:hAnsi="宋体" w:eastAsia="宋体" w:cs="宋体"/>
          <w:color w:val="000000" w:themeColor="text1"/>
          <w:sz w:val="24"/>
          <w:szCs w:val="24"/>
          <w14:textFill>
            <w14:solidFill>
              <w14:schemeClr w14:val="tx1"/>
            </w14:solidFill>
          </w14:textFill>
        </w:rPr>
        <w:t>。</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0"/>
        <w:gridCol w:w="2273"/>
        <w:gridCol w:w="1970"/>
        <w:gridCol w:w="2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810" w:type="dxa"/>
            <w:tcBorders>
              <w:top w:val="single" w:color="auto" w:sz="4" w:space="0"/>
              <w:left w:val="single" w:color="auto" w:sz="4" w:space="0"/>
              <w:bottom w:val="single" w:color="auto" w:sz="4" w:space="0"/>
              <w:right w:val="single" w:color="auto" w:sz="4" w:space="0"/>
              <w:tl2br w:val="single" w:color="auto" w:sz="4" w:space="0"/>
            </w:tcBorders>
            <w:noWrap/>
            <w:vAlign w:val="top"/>
          </w:tcPr>
          <w:p>
            <w:pPr>
              <w:pageBreakBefore w:val="0"/>
              <w:widowControl w:val="0"/>
              <w:kinsoku/>
              <w:wordWrap/>
              <w:overflowPunct/>
              <w:topLinePunct w:val="0"/>
              <w:autoSpaceDE/>
              <w:autoSpaceDN/>
              <w:bidi w:val="0"/>
              <w:adjustRightInd/>
              <w:snapToGrid w:val="0"/>
              <w:spacing w:line="460" w:lineRule="exact"/>
              <w:ind w:firstLine="1440" w:firstLineChars="6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635"/>
                      <wp:effectExtent l="0" t="0" r="0" b="0"/>
                      <wp:wrapNone/>
                      <wp:docPr id="3" name="直接连接符 3"/>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pt;margin-top:-0.5pt;height:0.05pt;width:0.05pt;z-index:251659264;mso-width-relative:page;mso-height-relative:page;" filled="f" stroked="t" coordsize="21600,21600" o:allowincell="f" o:gfxdata="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Xz75g9YAAAAIAQAADwAAAAAAAAABACAAAAAiAAAAZHJzL2Rvd25yZXYueG1sUEsBAhQA&#10;FAAAAAgAh07iQAJ5DIz0AQAA8AMAAA4AAAAAAAAAAQAgAAAAJQEAAGRycy9lMm9Eb2MueG1sUEsF&#10;BgAAAAAGAAYAWQEAAIsFAAAAAA==&#10;">
                      <v:fill on="f" focussize="0,0"/>
                      <v:stroke color="#000000" joinstyle="round"/>
                      <v:imagedata o:title=""/>
                      <o:lock v:ext="edit" aspectratio="f"/>
                    </v:line>
                  </w:pict>
                </mc:Fallback>
              </mc:AlternateContent>
            </w:r>
            <w:r>
              <w:rPr>
                <w:rFonts w:hint="eastAsia" w:ascii="宋体" w:hAnsi="宋体" w:eastAsia="宋体" w:cs="宋体"/>
                <w:color w:val="000000" w:themeColor="text1"/>
                <w:sz w:val="24"/>
                <w:szCs w:val="24"/>
                <w14:textFill>
                  <w14:solidFill>
                    <w14:schemeClr w14:val="tx1"/>
                  </w14:solidFill>
                </w14:textFill>
              </w:rPr>
              <w:t>采购类型</w:t>
            </w:r>
          </w:p>
          <w:p>
            <w:pPr>
              <w:pageBreakBefore w:val="0"/>
              <w:widowControl w:val="0"/>
              <w:kinsoku/>
              <w:wordWrap/>
              <w:overflowPunct/>
              <w:topLinePunct w:val="0"/>
              <w:autoSpaceDE/>
              <w:autoSpaceDN/>
              <w:bidi w:val="0"/>
              <w:adjustRightInd/>
              <w:snapToGrid w:val="0"/>
              <w:spacing w:line="460" w:lineRule="exac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成交金额（万元）</w:t>
            </w:r>
          </w:p>
        </w:tc>
        <w:tc>
          <w:tcPr>
            <w:tcW w:w="2273" w:type="dxa"/>
            <w:tcBorders>
              <w:top w:val="single" w:color="auto" w:sz="4" w:space="0"/>
              <w:left w:val="single" w:color="auto" w:sz="4" w:space="0"/>
              <w:bottom w:val="single" w:color="auto" w:sz="4" w:space="0"/>
              <w:right w:val="single" w:color="auto" w:sz="4" w:space="0"/>
            </w:tcBorders>
            <w:noWrap/>
            <w:vAlign w:val="center"/>
          </w:tcPr>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货物采购</w:t>
            </w:r>
          </w:p>
        </w:tc>
        <w:tc>
          <w:tcPr>
            <w:tcW w:w="1970" w:type="dxa"/>
            <w:tcBorders>
              <w:top w:val="single" w:color="auto" w:sz="4" w:space="0"/>
              <w:left w:val="single" w:color="auto" w:sz="4" w:space="0"/>
              <w:bottom w:val="single" w:color="auto" w:sz="4" w:space="0"/>
              <w:right w:val="single" w:color="auto" w:sz="4" w:space="0"/>
            </w:tcBorders>
            <w:noWrap/>
            <w:vAlign w:val="center"/>
          </w:tcPr>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服务采购</w:t>
            </w:r>
          </w:p>
        </w:tc>
        <w:tc>
          <w:tcPr>
            <w:tcW w:w="2044" w:type="dxa"/>
            <w:tcBorders>
              <w:top w:val="single" w:color="auto" w:sz="4" w:space="0"/>
              <w:left w:val="single" w:color="auto" w:sz="4" w:space="0"/>
              <w:bottom w:val="single" w:color="auto" w:sz="4" w:space="0"/>
              <w:right w:val="single" w:color="auto" w:sz="4" w:space="0"/>
            </w:tcBorders>
            <w:noWrap/>
            <w:vAlign w:val="center"/>
          </w:tcPr>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2810" w:type="dxa"/>
            <w:tcBorders>
              <w:top w:val="single" w:color="auto" w:sz="4" w:space="0"/>
              <w:left w:val="single" w:color="auto" w:sz="4" w:space="0"/>
              <w:bottom w:val="single" w:color="auto" w:sz="4" w:space="0"/>
              <w:right w:val="single" w:color="auto" w:sz="4" w:space="0"/>
            </w:tcBorders>
            <w:noWrap/>
            <w:vAlign w:val="center"/>
          </w:tcPr>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100以下</w:t>
            </w:r>
          </w:p>
        </w:tc>
        <w:tc>
          <w:tcPr>
            <w:tcW w:w="2273" w:type="dxa"/>
            <w:tcBorders>
              <w:top w:val="single" w:color="auto" w:sz="4" w:space="0"/>
              <w:left w:val="single" w:color="auto" w:sz="4" w:space="0"/>
              <w:bottom w:val="single" w:color="auto" w:sz="4" w:space="0"/>
              <w:right w:val="single" w:color="auto" w:sz="4" w:space="0"/>
            </w:tcBorders>
            <w:noWrap/>
            <w:vAlign w:val="center"/>
          </w:tcPr>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1.5%</w:t>
            </w:r>
          </w:p>
        </w:tc>
        <w:tc>
          <w:tcPr>
            <w:tcW w:w="1970" w:type="dxa"/>
            <w:tcBorders>
              <w:top w:val="single" w:color="auto" w:sz="4" w:space="0"/>
              <w:left w:val="single" w:color="auto" w:sz="4" w:space="0"/>
              <w:bottom w:val="single" w:color="auto" w:sz="4" w:space="0"/>
              <w:right w:val="single" w:color="auto" w:sz="4" w:space="0"/>
            </w:tcBorders>
            <w:noWrap/>
            <w:vAlign w:val="center"/>
          </w:tcPr>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1.5%</w:t>
            </w:r>
          </w:p>
        </w:tc>
        <w:tc>
          <w:tcPr>
            <w:tcW w:w="2044" w:type="dxa"/>
            <w:tcBorders>
              <w:top w:val="single" w:color="auto" w:sz="4" w:space="0"/>
              <w:left w:val="single" w:color="auto" w:sz="4" w:space="0"/>
              <w:bottom w:val="single" w:color="auto" w:sz="4" w:space="0"/>
              <w:right w:val="single" w:color="auto" w:sz="4" w:space="0"/>
            </w:tcBorders>
            <w:noWrap/>
            <w:vAlign w:val="center"/>
          </w:tcPr>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810" w:type="dxa"/>
            <w:tcBorders>
              <w:top w:val="single" w:color="auto" w:sz="4" w:space="0"/>
              <w:left w:val="single" w:color="auto" w:sz="4" w:space="0"/>
              <w:bottom w:val="single" w:color="auto" w:sz="4" w:space="0"/>
              <w:right w:val="single" w:color="auto" w:sz="4" w:space="0"/>
            </w:tcBorders>
            <w:noWrap/>
            <w:vAlign w:val="center"/>
          </w:tcPr>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100-500</w:t>
            </w:r>
          </w:p>
        </w:tc>
        <w:tc>
          <w:tcPr>
            <w:tcW w:w="2273" w:type="dxa"/>
            <w:tcBorders>
              <w:top w:val="single" w:color="auto" w:sz="4" w:space="0"/>
              <w:left w:val="single" w:color="auto" w:sz="4" w:space="0"/>
              <w:bottom w:val="single" w:color="auto" w:sz="4" w:space="0"/>
              <w:right w:val="single" w:color="auto" w:sz="4" w:space="0"/>
            </w:tcBorders>
            <w:noWrap/>
            <w:vAlign w:val="center"/>
          </w:tcPr>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w:t>
            </w:r>
          </w:p>
        </w:tc>
        <w:tc>
          <w:tcPr>
            <w:tcW w:w="1970" w:type="dxa"/>
            <w:tcBorders>
              <w:top w:val="single" w:color="auto" w:sz="4" w:space="0"/>
              <w:left w:val="single" w:color="auto" w:sz="4" w:space="0"/>
              <w:bottom w:val="single" w:color="auto" w:sz="4" w:space="0"/>
              <w:right w:val="single" w:color="auto" w:sz="4" w:space="0"/>
            </w:tcBorders>
            <w:noWrap/>
            <w:vAlign w:val="center"/>
          </w:tcPr>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0.8%</w:t>
            </w:r>
          </w:p>
        </w:tc>
        <w:tc>
          <w:tcPr>
            <w:tcW w:w="2044" w:type="dxa"/>
            <w:tcBorders>
              <w:top w:val="single" w:color="auto" w:sz="4" w:space="0"/>
              <w:left w:val="single" w:color="auto" w:sz="4" w:space="0"/>
              <w:bottom w:val="single" w:color="auto" w:sz="4" w:space="0"/>
              <w:right w:val="single" w:color="auto" w:sz="4" w:space="0"/>
            </w:tcBorders>
            <w:noWrap/>
            <w:vAlign w:val="center"/>
          </w:tcPr>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0.7%</w:t>
            </w:r>
          </w:p>
        </w:tc>
      </w:tr>
    </w:tbl>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注：采购代理服务收费按差额定率累进法计算。例如：某</w:t>
      </w:r>
      <w:r>
        <w:rPr>
          <w:rFonts w:hint="eastAsia" w:ascii="宋体" w:hAnsi="宋体" w:eastAsia="宋体" w:cs="宋体"/>
          <w:color w:val="000000" w:themeColor="text1"/>
          <w:sz w:val="24"/>
          <w:szCs w:val="24"/>
          <w:lang w:eastAsia="zh-CN"/>
          <w14:textFill>
            <w14:solidFill>
              <w14:schemeClr w14:val="tx1"/>
            </w14:solidFill>
          </w14:textFill>
        </w:rPr>
        <w:t>工程</w:t>
      </w:r>
      <w:r>
        <w:rPr>
          <w:rFonts w:hint="eastAsia" w:ascii="宋体" w:hAnsi="宋体" w:eastAsia="宋体" w:cs="宋体"/>
          <w:color w:val="000000" w:themeColor="text1"/>
          <w:sz w:val="24"/>
          <w:szCs w:val="24"/>
          <w14:textFill>
            <w14:solidFill>
              <w14:schemeClr w14:val="tx1"/>
            </w14:solidFill>
          </w14:textFill>
        </w:rPr>
        <w:t>采购代理业务成交金额为</w:t>
      </w: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00万元，计算采购代理服务收费额如下：</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100万元×1%=1万元</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合计收费=1（万元）</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（2）服务费以转账、支票或电汇等形式支付。</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采购代理服务费缴纳账号</w:t>
      </w:r>
      <w:r>
        <w:rPr>
          <w:rFonts w:hint="eastAsia" w:ascii="宋体" w:hAnsi="宋体" w:eastAsia="宋体" w:cs="宋体"/>
          <w:color w:val="000000" w:themeColor="text1"/>
          <w:sz w:val="24"/>
          <w:szCs w:val="24"/>
          <w:lang w:eastAsia="zh-CN"/>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户  名：重庆优佳工程招标代理有限公司</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开户行：中国建设银行荣昌昌州支行</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账  号：50050117630000000393 </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（3）成交供应商如未按上述规定缴付采购代理服务费，其保证金将不予退还。</w:t>
      </w:r>
    </w:p>
    <w:p>
      <w:pPr>
        <w:pStyle w:val="5"/>
        <w:pageBreakBefore w:val="0"/>
        <w:widowControl w:val="0"/>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44" w:name="_Toc32225"/>
      <w:bookmarkStart w:id="145" w:name="_Toc179714298"/>
      <w:bookmarkStart w:id="146" w:name="_Toc342913393"/>
      <w:bookmarkStart w:id="147" w:name="_Toc2528"/>
      <w:bookmarkStart w:id="148" w:name="_Toc27966"/>
      <w:bookmarkStart w:id="149" w:name="_Toc102227319"/>
      <w:r>
        <w:rPr>
          <w:rFonts w:hint="eastAsia" w:ascii="宋体" w:hAnsi="宋体" w:eastAsia="宋体" w:cs="宋体"/>
          <w:b/>
          <w:bCs w:val="0"/>
          <w:color w:val="000000" w:themeColor="text1"/>
          <w:sz w:val="24"/>
          <w:szCs w:val="24"/>
          <w14:textFill>
            <w14:solidFill>
              <w14:schemeClr w14:val="tx1"/>
            </w14:solidFill>
          </w14:textFill>
        </w:rPr>
        <w:t>四、谈判程序</w:t>
      </w:r>
      <w:bookmarkEnd w:id="144"/>
      <w:bookmarkEnd w:id="145"/>
      <w:bookmarkEnd w:id="146"/>
      <w:bookmarkEnd w:id="147"/>
      <w:bookmarkEnd w:id="148"/>
      <w:bookmarkEnd w:id="149"/>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1、谈判按竞争性谈判文件规定的时间和地点进行。供应商须有法定代表人或其授权代表参加并签到。</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2、竞争性谈判以抽签的形式确定谈判顺序，由本项目谈判小组分别与各供应商进行谈判。在正式谈判前，对各供应商的资格条件、响应文件的有效性、完整性和响应程度进行审查</w:t>
      </w:r>
      <w:r>
        <w:rPr>
          <w:rFonts w:hint="eastAsia" w:ascii="宋体" w:hAnsi="宋体" w:eastAsia="宋体" w:cs="宋体"/>
          <w:color w:val="000000" w:themeColor="text1"/>
          <w:sz w:val="24"/>
          <w:szCs w:val="24"/>
          <w:lang w:eastAsia="zh-CN"/>
          <w14:textFill>
            <w14:solidFill>
              <w14:schemeClr w14:val="tx1"/>
            </w14:solidFill>
          </w14:textFill>
        </w:rPr>
        <w:t>（采购人或采购代理机构将通过 “信用中国”网站(www.creditchina.gov.cn)、"中国政府采购网"(www.ccgp.gov.cn)等渠道查询</w:t>
      </w:r>
      <w:r>
        <w:rPr>
          <w:rFonts w:hint="eastAsia" w:ascii="宋体" w:hAnsi="宋体" w:eastAsia="宋体" w:cs="宋体"/>
          <w:color w:val="000000" w:themeColor="text1"/>
          <w:sz w:val="24"/>
          <w:szCs w:val="24"/>
          <w:lang w:val="en-US" w:eastAsia="zh-CN"/>
          <w14:textFill>
            <w14:solidFill>
              <w14:schemeClr w14:val="tx1"/>
            </w14:solidFill>
          </w14:textFill>
        </w:rPr>
        <w:t>供应商</w:t>
      </w:r>
      <w:r>
        <w:rPr>
          <w:rFonts w:hint="eastAsia" w:ascii="宋体" w:hAnsi="宋体" w:eastAsia="宋体" w:cs="宋体"/>
          <w:color w:val="000000" w:themeColor="text1"/>
          <w:sz w:val="24"/>
          <w:szCs w:val="24"/>
          <w:lang w:eastAsia="zh-CN"/>
          <w14:textFill>
            <w14:solidFill>
              <w14:schemeClr w14:val="tx1"/>
            </w14:solidFill>
          </w14:textFill>
        </w:rPr>
        <w:t>信用记录，对列入失信被执行人、重大税收违法案件当事人名单、政府采购严重违法失信行为记录名单的</w:t>
      </w:r>
      <w:r>
        <w:rPr>
          <w:rFonts w:hint="eastAsia" w:ascii="宋体" w:hAnsi="宋体" w:eastAsia="宋体" w:cs="宋体"/>
          <w:color w:val="000000" w:themeColor="text1"/>
          <w:sz w:val="24"/>
          <w:szCs w:val="24"/>
          <w:lang w:val="en-US" w:eastAsia="zh-CN"/>
          <w14:textFill>
            <w14:solidFill>
              <w14:schemeClr w14:val="tx1"/>
            </w14:solidFill>
          </w14:textFill>
        </w:rPr>
        <w:t>供应商</w:t>
      </w:r>
      <w:r>
        <w:rPr>
          <w:rFonts w:hint="eastAsia" w:ascii="宋体" w:hAnsi="宋体" w:eastAsia="宋体" w:cs="宋体"/>
          <w:color w:val="000000" w:themeColor="text1"/>
          <w:sz w:val="24"/>
          <w:szCs w:val="24"/>
          <w:lang w:eastAsia="zh-CN"/>
          <w14:textFill>
            <w14:solidFill>
              <w14:schemeClr w14:val="tx1"/>
            </w14:solidFill>
          </w14:textFill>
        </w:rPr>
        <w:t>将拒绝其参与政府采购活动。）</w:t>
      </w:r>
      <w:r>
        <w:rPr>
          <w:rFonts w:hint="eastAsia" w:ascii="宋体" w:hAnsi="宋体" w:eastAsia="宋体" w:cs="宋体"/>
          <w:color w:val="000000" w:themeColor="text1"/>
          <w:sz w:val="24"/>
          <w:szCs w:val="24"/>
          <w14:textFill>
            <w14:solidFill>
              <w14:schemeClr w14:val="tx1"/>
            </w14:solidFill>
          </w14:textFill>
        </w:rPr>
        <w:t>，审查的内容包括供应商营业执照和诚信声明、特定资格条件证明文件、供应商法定代表人身份证明书和授权代表委托书身份证明等。各供应商只有在完全符合谈判要求的前提下，才能参与正式谈判。</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4、谈判小组要求供应商澄清、说明或者更正响应文件应当以书面形式作出。供应商的澄清、说明或者更正应当由法定代表人或其授权代表签字或者加盖公章。由授权代表签字</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的，应当附法定代表人授权书。供应商为自然人的，应当由本人签字并附身份证明。</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5、在谈判过程中谈判的任何一方不得向他人透露与谈判有关的技术资料、价格或其他信息。</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在谈判过程中，谈判小组可以根据竞争性谈判文件和谈判情况实质性变动采购需求中的技术、服务要求以及合同草案条款（国家和行业主管部门以及市级、区县级的法律法规和规范文件的规定除外），但不得变动竞争性谈判文件中的其他内容。实质性变动的内容，须经采购人代表确认。对竞争性谈判文件作出的实质性变动是竞争性谈判谈判文件的有效组成部分，谈判小组应当及时以书面形式同时通知所有参加谈判的供应商。供应商应当按照竞争性谈判文件的变动情况和谈判小组的要求重新提交响应文件或重新做出相关的书面承诺，并报出最佳服务，最后统一报价。</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7、供应商在谈判时作出的所有书面承诺须由法定代表人或其授权代表签字。</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谈判结束后，谈判小组要求所有参加正式谈判的供应商在规定时间内同时书面提交最后报价及有关承诺（填写《最后报价表》并密封提交）。已提交响应文件但未在规定时间内进行最后报价的供应商，视为放弃最后报价，以供应商响应文件中的报价为准。</w:t>
      </w:r>
    </w:p>
    <w:p>
      <w:pPr>
        <w:pStyle w:val="5"/>
        <w:pageBreakBefore w:val="0"/>
        <w:widowControl w:val="0"/>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50" w:name="_Toc32054"/>
      <w:bookmarkStart w:id="151" w:name="_Toc28510"/>
      <w:bookmarkStart w:id="152" w:name="_Toc26457"/>
      <w:bookmarkStart w:id="153" w:name="_Toc102227320"/>
      <w:bookmarkStart w:id="154" w:name="_Toc342913394"/>
      <w:r>
        <w:rPr>
          <w:rFonts w:hint="eastAsia" w:ascii="宋体" w:hAnsi="宋体" w:eastAsia="宋体" w:cs="宋体"/>
          <w:b/>
          <w:bCs w:val="0"/>
          <w:color w:val="000000" w:themeColor="text1"/>
          <w:sz w:val="24"/>
          <w:szCs w:val="24"/>
          <w14:textFill>
            <w14:solidFill>
              <w14:schemeClr w14:val="tx1"/>
            </w14:solidFill>
          </w14:textFill>
        </w:rPr>
        <w:t>五、评审依据</w:t>
      </w:r>
      <w:bookmarkEnd w:id="150"/>
      <w:bookmarkEnd w:id="151"/>
      <w:bookmarkEnd w:id="152"/>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评审的依据为竞争性谈判文件和响应文件（含有效的补充文件）。谈判小组判断响应文件对竞争性谈判文件的响应，仅基于响应文件本身而不靠外部证据。</w:t>
      </w:r>
    </w:p>
    <w:p>
      <w:pPr>
        <w:pStyle w:val="5"/>
        <w:pageBreakBefore w:val="0"/>
        <w:widowControl w:val="0"/>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55" w:name="_Toc23607"/>
      <w:bookmarkStart w:id="156" w:name="_Toc1033"/>
      <w:bookmarkStart w:id="157" w:name="_Toc4521"/>
      <w:r>
        <w:rPr>
          <w:rFonts w:hint="eastAsia" w:ascii="宋体" w:hAnsi="宋体" w:eastAsia="宋体" w:cs="宋体"/>
          <w:b/>
          <w:bCs w:val="0"/>
          <w:color w:val="000000" w:themeColor="text1"/>
          <w:sz w:val="24"/>
          <w:szCs w:val="24"/>
          <w14:textFill>
            <w14:solidFill>
              <w14:schemeClr w14:val="tx1"/>
            </w14:solidFill>
          </w14:textFill>
        </w:rPr>
        <w:t>六、成交</w:t>
      </w:r>
      <w:bookmarkEnd w:id="153"/>
      <w:r>
        <w:rPr>
          <w:rFonts w:hint="eastAsia" w:ascii="宋体" w:hAnsi="宋体" w:eastAsia="宋体" w:cs="宋体"/>
          <w:b/>
          <w:bCs w:val="0"/>
          <w:color w:val="000000" w:themeColor="text1"/>
          <w:sz w:val="24"/>
          <w:szCs w:val="24"/>
          <w14:textFill>
            <w14:solidFill>
              <w14:schemeClr w14:val="tx1"/>
            </w14:solidFill>
          </w14:textFill>
        </w:rPr>
        <w:t>原则</w:t>
      </w:r>
      <w:bookmarkEnd w:id="154"/>
      <w:bookmarkEnd w:id="155"/>
      <w:bookmarkEnd w:id="156"/>
      <w:bookmarkEnd w:id="157"/>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158" w:name="_Toc44682684"/>
      <w:bookmarkStart w:id="159" w:name="_Toc403569783"/>
      <w:bookmarkStart w:id="160" w:name="_Toc485108781"/>
      <w:bookmarkStart w:id="161" w:name="_Toc7837"/>
      <w:bookmarkStart w:id="162" w:name="_Toc14277"/>
      <w:r>
        <w:rPr>
          <w:rFonts w:hint="eastAsia" w:ascii="宋体" w:hAnsi="宋体" w:eastAsia="宋体" w:cs="宋体"/>
          <w:color w:val="000000" w:themeColor="text1"/>
          <w:sz w:val="24"/>
          <w:szCs w:val="24"/>
          <w14:textFill>
            <w14:solidFill>
              <w14:schemeClr w14:val="tx1"/>
            </w14:solidFill>
          </w14:textFill>
        </w:rPr>
        <w:t>1、评审办法</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谈判小组将依照本竞争性谈判文件相关规定对质量和服务均能满足竞争性谈判实质性响应要求的供应商所提交的最后报价进行政策性扣减，并依据扣减后的价格按照由低到高的顺序提出3名以上成交候选人，并编写评审报告。</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1.2若供应商的最后报价经扣减后价格相同，按技术参数（条款）的优劣顺序排列；以上都相同的，按服务条款的优劣顺序排列。</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1.3成交价格=成交供应商的最后报价</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2、评审细则：</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 资格符合性检查</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依据法律法规和竞争性谈判文件的规定，对供应商的资格证明、保证金等进行审查，以确定供应商是否具备谈判资格。</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2.2对响应文件的有效性、完整性和响应程度检查</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依据竞争性谈判文件的规定，对供应商的响应文件从质量、服务等方面进行审查，以确定供应商是否实质性响应竞争性谈判文件的要求。对技术、服务未作实质性响应的供应商，谈判小组将要求其在最后报价前做出相应的承诺。</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2.2.1若同一合同项（分包）下为单一品目的货物采购采购中，提供相同品牌产品的不同</w:t>
      </w:r>
      <w:r>
        <w:rPr>
          <w:rFonts w:hint="eastAsia" w:ascii="宋体" w:hAnsi="宋体" w:eastAsia="宋体" w:cs="宋体"/>
          <w:color w:val="000000" w:themeColor="text1"/>
          <w:sz w:val="24"/>
          <w:szCs w:val="24"/>
          <w:lang w:val="en-US" w:eastAsia="zh-CN"/>
          <w14:textFill>
            <w14:solidFill>
              <w14:schemeClr w14:val="tx1"/>
            </w14:solidFill>
          </w14:textFill>
        </w:rPr>
        <w:t>供应商</w:t>
      </w:r>
      <w:r>
        <w:rPr>
          <w:rFonts w:hint="eastAsia" w:ascii="宋体" w:hAnsi="宋体" w:eastAsia="宋体" w:cs="宋体"/>
          <w:color w:val="000000" w:themeColor="text1"/>
          <w:sz w:val="24"/>
          <w:szCs w:val="24"/>
          <w14:textFill>
            <w14:solidFill>
              <w14:schemeClr w14:val="tx1"/>
            </w14:solidFill>
          </w14:textFill>
        </w:rPr>
        <w:t>参加同一合同项下</w:t>
      </w:r>
      <w:r>
        <w:rPr>
          <w:rFonts w:hint="eastAsia" w:ascii="宋体" w:hAnsi="宋体" w:eastAsia="宋体" w:cs="宋体"/>
          <w:color w:val="000000" w:themeColor="text1"/>
          <w:sz w:val="24"/>
          <w:szCs w:val="24"/>
          <w:lang w:val="en-US" w:eastAsia="zh-CN"/>
          <w14:textFill>
            <w14:solidFill>
              <w14:schemeClr w14:val="tx1"/>
            </w14:solidFill>
          </w14:textFill>
        </w:rPr>
        <w:t>谈判</w:t>
      </w:r>
      <w:r>
        <w:rPr>
          <w:rFonts w:hint="eastAsia" w:ascii="宋体" w:hAnsi="宋体" w:eastAsia="宋体" w:cs="宋体"/>
          <w:color w:val="000000" w:themeColor="text1"/>
          <w:sz w:val="24"/>
          <w:szCs w:val="24"/>
          <w14:textFill>
            <w14:solidFill>
              <w14:schemeClr w14:val="tx1"/>
            </w14:solidFill>
          </w14:textFill>
        </w:rPr>
        <w:t>的，以其中通过资格审查、符合性审查且报价最低的参加</w:t>
      </w:r>
      <w:r>
        <w:rPr>
          <w:rFonts w:hint="eastAsia" w:ascii="宋体" w:hAnsi="宋体" w:eastAsia="宋体" w:cs="宋体"/>
          <w:color w:val="000000" w:themeColor="text1"/>
          <w:sz w:val="24"/>
          <w:szCs w:val="24"/>
          <w:lang w:val="en-US" w:eastAsia="zh-CN"/>
          <w14:textFill>
            <w14:solidFill>
              <w14:schemeClr w14:val="tx1"/>
            </w14:solidFill>
          </w14:textFill>
        </w:rPr>
        <w:t>谈判</w:t>
      </w:r>
      <w:r>
        <w:rPr>
          <w:rFonts w:hint="eastAsia" w:ascii="宋体" w:hAnsi="宋体" w:eastAsia="宋体" w:cs="宋体"/>
          <w:color w:val="000000" w:themeColor="text1"/>
          <w:sz w:val="24"/>
          <w:szCs w:val="24"/>
          <w14:textFill>
            <w14:solidFill>
              <w14:schemeClr w14:val="tx1"/>
            </w14:solidFill>
          </w14:textFill>
        </w:rPr>
        <w:t>；报价相同的，由采购人或者采购人委托</w:t>
      </w:r>
      <w:r>
        <w:rPr>
          <w:rFonts w:hint="eastAsia" w:ascii="宋体" w:hAnsi="宋体" w:eastAsia="宋体" w:cs="宋体"/>
          <w:color w:val="000000" w:themeColor="text1"/>
          <w:sz w:val="24"/>
          <w:szCs w:val="24"/>
          <w:lang w:val="en-US" w:eastAsia="zh-CN"/>
          <w14:textFill>
            <w14:solidFill>
              <w14:schemeClr w14:val="tx1"/>
            </w14:solidFill>
          </w14:textFill>
        </w:rPr>
        <w:t>谈判小组</w:t>
      </w:r>
      <w:r>
        <w:rPr>
          <w:rFonts w:hint="eastAsia" w:ascii="宋体" w:hAnsi="宋体" w:eastAsia="宋体" w:cs="宋体"/>
          <w:color w:val="000000" w:themeColor="text1"/>
          <w:sz w:val="24"/>
          <w:szCs w:val="24"/>
          <w14:textFill>
            <w14:solidFill>
              <w14:schemeClr w14:val="tx1"/>
            </w14:solidFill>
          </w14:textFill>
        </w:rPr>
        <w:t>按照</w:t>
      </w:r>
      <w:r>
        <w:rPr>
          <w:rFonts w:hint="eastAsia" w:ascii="宋体" w:hAnsi="宋体" w:eastAsia="宋体" w:cs="宋体"/>
          <w:color w:val="000000" w:themeColor="text1"/>
          <w:sz w:val="24"/>
          <w:szCs w:val="24"/>
          <w:lang w:val="en-US" w:eastAsia="zh-CN"/>
          <w14:textFill>
            <w14:solidFill>
              <w14:schemeClr w14:val="tx1"/>
            </w14:solidFill>
          </w14:textFill>
        </w:rPr>
        <w:t>采购</w:t>
      </w:r>
      <w:r>
        <w:rPr>
          <w:rFonts w:hint="eastAsia" w:ascii="宋体" w:hAnsi="宋体" w:eastAsia="宋体" w:cs="宋体"/>
          <w:color w:val="000000" w:themeColor="text1"/>
          <w:sz w:val="24"/>
          <w:szCs w:val="24"/>
          <w14:textFill>
            <w14:solidFill>
              <w14:schemeClr w14:val="tx1"/>
            </w14:solidFill>
          </w14:textFill>
        </w:rPr>
        <w:t>文件规定的方式确定一个参加</w:t>
      </w:r>
      <w:r>
        <w:rPr>
          <w:rFonts w:hint="eastAsia" w:ascii="宋体" w:hAnsi="宋体" w:eastAsia="宋体" w:cs="宋体"/>
          <w:color w:val="000000" w:themeColor="text1"/>
          <w:sz w:val="24"/>
          <w:szCs w:val="24"/>
          <w:lang w:val="en-US" w:eastAsia="zh-CN"/>
          <w14:textFill>
            <w14:solidFill>
              <w14:schemeClr w14:val="tx1"/>
            </w14:solidFill>
          </w14:textFill>
        </w:rPr>
        <w:t>谈判</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color w:val="000000" w:themeColor="text1"/>
          <w:sz w:val="24"/>
          <w:szCs w:val="24"/>
          <w:lang w:val="en-US" w:eastAsia="zh-CN"/>
          <w14:textFill>
            <w14:solidFill>
              <w14:schemeClr w14:val="tx1"/>
            </w14:solidFill>
          </w14:textFill>
        </w:rPr>
        <w:t>成交供应商</w:t>
      </w:r>
      <w:r>
        <w:rPr>
          <w:rFonts w:hint="eastAsia" w:ascii="宋体" w:hAnsi="宋体" w:eastAsia="宋体" w:cs="宋体"/>
          <w:color w:val="000000" w:themeColor="text1"/>
          <w:sz w:val="24"/>
          <w:szCs w:val="24"/>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2.2.2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2.3关于政策性扣减</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2.3.1政策性扣减范围</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2.3.1.1</w:t>
      </w:r>
      <w:r>
        <w:rPr>
          <w:rFonts w:hint="eastAsia" w:ascii="宋体" w:hAnsi="宋体" w:eastAsia="宋体" w:cs="宋体"/>
          <w:color w:val="000000" w:themeColor="text1"/>
          <w:sz w:val="24"/>
          <w:szCs w:val="24"/>
          <w14:textFill>
            <w14:solidFill>
              <w14:schemeClr w14:val="tx1"/>
            </w14:solidFill>
          </w14:textFill>
        </w:rPr>
        <w:t>中小企业，是指在中华人民共和国境内依法设立，依据国务院批准的中小企业划分标准确定的中型企业、小型企业和微型企业，但与大企业的负责人为同一人，或者与大企业存在直接控股、管理关系的除外。</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2.3.1.2</w:t>
      </w:r>
      <w:r>
        <w:rPr>
          <w:rFonts w:hint="eastAsia" w:ascii="宋体" w:hAnsi="宋体" w:eastAsia="宋体" w:cs="宋体"/>
          <w:color w:val="000000" w:themeColor="text1"/>
          <w:sz w:val="24"/>
          <w:szCs w:val="24"/>
          <w14:textFill>
            <w14:solidFill>
              <w14:schemeClr w14:val="tx1"/>
            </w14:solidFill>
          </w14:textFill>
        </w:rPr>
        <w:t>供应商符合小型、微型企业或监狱企业条件、残疾人福利性单位的，其最后报价将按相应比例进行扣减。</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2.3.1.3符合中小企业划分标准的个体工商户，在政府采购活动中视同中小企业。</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2.3.1.4在货物采购项目中，供应商提供的货物既有中小企业制造货物，也有大型企业制造货物的，不享受《政府采购促进中小企业发展管理办法》规定的中小企业扶持政策。</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2.3.1.5以联合体形式参加政府采购活动，联合体各方均为中小企业的，联合体视同中小企业。其中，联合体各方均为小微企业的，联合体视同小微企业。</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2.3.2政策性扣减方式</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2.3.2.1政策性扣减方式（对于经主管预算单位统筹后未预留份额专门面向中小企业采购的采购项目，以及预留份额项目中的非预留部分采购包）</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2.3.2.2供应商为非联合体响应的制造商，对小型企业给予6%的扣除，微型企业给予8%的扣除（注册资金十五万及以下的微型企业给予10%的扣除），以扣除后的报价参与评审。</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2.3.2.3供应商为非联合体响应的承建（承接）企业，对小型企业给予3%的扣除，微型企业给予4%的扣除（注册资金十五万及以下的微型企业给予5%的扣除），以扣除后的报价参与评审。</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2.3.2.4供应商为联合体响应的，在联合协议或者分包意向协议约定小微企业的合同份额占到合同总金额 30%以上的，对联合体或者大中型企业的报价给予 2%-3%（工程项目为 1%—2%）的扣除，用扣除后的价格参加评审。</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组成联合体或者接受分包的小微企业与联合体内其他企业、分包企业之间存在直接控股、管理关系的，不享受价格扣除优惠政策。</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2.3.2.5</w:t>
      </w:r>
      <w:r>
        <w:rPr>
          <w:rFonts w:hint="eastAsia" w:ascii="宋体" w:hAnsi="宋体" w:eastAsia="宋体" w:cs="宋体"/>
          <w:color w:val="000000" w:themeColor="text1"/>
          <w:sz w:val="24"/>
          <w:szCs w:val="24"/>
          <w14:textFill>
            <w14:solidFill>
              <w14:schemeClr w14:val="tx1"/>
            </w14:solidFill>
          </w14:textFill>
        </w:rPr>
        <w:t>监狱企业、残疾人福利性单位属于微型企业的，应提供中小微企业声明函（详见第</w:t>
      </w:r>
      <w:r>
        <w:rPr>
          <w:rFonts w:hint="eastAsia" w:ascii="宋体" w:hAnsi="宋体" w:eastAsia="宋体" w:cs="宋体"/>
          <w:color w:val="000000" w:themeColor="text1"/>
          <w:sz w:val="24"/>
          <w:szCs w:val="24"/>
          <w:lang w:eastAsia="zh-CN"/>
          <w14:textFill>
            <w14:solidFill>
              <w14:schemeClr w14:val="tx1"/>
            </w14:solidFill>
          </w14:textFill>
        </w:rPr>
        <w:t>六</w:t>
      </w:r>
      <w:r>
        <w:rPr>
          <w:rFonts w:hint="eastAsia" w:ascii="宋体" w:hAnsi="宋体" w:eastAsia="宋体" w:cs="宋体"/>
          <w:color w:val="000000" w:themeColor="text1"/>
          <w:sz w:val="24"/>
          <w:szCs w:val="24"/>
          <w14:textFill>
            <w14:solidFill>
              <w14:schemeClr w14:val="tx1"/>
            </w14:solidFill>
          </w14:textFill>
        </w:rPr>
        <w:t xml:space="preserve">篇 </w:t>
      </w:r>
      <w:r>
        <w:rPr>
          <w:rFonts w:hint="eastAsia" w:ascii="宋体" w:hAnsi="宋体" w:eastAsia="宋体" w:cs="宋体"/>
          <w:color w:val="000000" w:themeColor="text1"/>
          <w:sz w:val="24"/>
          <w:szCs w:val="24"/>
          <w:lang w:eastAsia="zh-CN"/>
          <w14:textFill>
            <w14:solidFill>
              <w14:schemeClr w14:val="tx1"/>
            </w14:solidFill>
          </w14:textFill>
        </w:rPr>
        <w:t>五</w:t>
      </w:r>
      <w:r>
        <w:rPr>
          <w:rFonts w:hint="eastAsia" w:ascii="宋体" w:hAnsi="宋体" w:eastAsia="宋体" w:cs="宋体"/>
          <w:color w:val="000000" w:themeColor="text1"/>
          <w:sz w:val="24"/>
          <w:szCs w:val="24"/>
          <w14:textFill>
            <w14:solidFill>
              <w14:schemeClr w14:val="tx1"/>
            </w14:solidFill>
          </w14:textFill>
        </w:rPr>
        <w:t>、其他“中小微企业声明函”）。未提供以上资料的监狱企业、残疾人福利性单位视同小型企业。</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成交供应商的确定：</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4.1谈判小组应当从质量和服务均能满足采购文件实质性响应要求的供应商中，按照最后报价由低到高的顺序提出3名以上成交候选人</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4.2谈判小组认为，排在前面的成交候选人的最后报价或者某些分项报价明显不合理或者低于成本，有可能影响商品质量和不能诚信履约的，将要求其在规定的期限内提供书面文件予以解释说明，并提交相关证明材料；否则，谈判小组可以取消该成交候选人成为成交供应商的资格，按顺序由排在后面的成交候选人递补，以此类推。</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4.3谈判小组将依照评审办法提出成交候选人。</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4.4采购代理机构应当在评审结束后2个工作日内将评审报告送采购人确认。采购人应当在收到评审报告后5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5成交供应商的变更</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2.5.1若为下列情况之一的，成交供应商因不可抗力或者自身原因不能履行合同的，采购人可以确定排名其后一位的成交候选人为成交供应商：</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2.5.1.1拟成交金额在100万以下的，报价不超过前一名报价5%的成交候选人；</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2.5.1.2拟成交金额在100～200万的，报价不超过前一名报价4%的成交候选人；</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2.5.1.3采购人须按以上程序确认成交供应商，否则应重新组织采购。</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2.5.2成交供应商无充分理由放弃成交的，采购人将会同采购代理机构把相关情况报财政部门，财政部门将根据财政部</w:t>
      </w:r>
      <w:r>
        <w:rPr>
          <w:rFonts w:hint="eastAsia" w:ascii="宋体" w:hAnsi="宋体" w:eastAsia="宋体" w:cs="宋体"/>
          <w:color w:val="000000" w:themeColor="text1"/>
          <w:sz w:val="24"/>
          <w:szCs w:val="24"/>
          <w:lang w:val="en-US" w:eastAsia="zh-CN"/>
          <w14:textFill>
            <w14:solidFill>
              <w14:schemeClr w14:val="tx1"/>
            </w14:solidFill>
          </w14:textFill>
        </w:rPr>
        <w:t>七十四</w:t>
      </w:r>
      <w:r>
        <w:rPr>
          <w:rFonts w:hint="eastAsia" w:ascii="宋体" w:hAnsi="宋体" w:eastAsia="宋体" w:cs="宋体"/>
          <w:color w:val="000000" w:themeColor="text1"/>
          <w:sz w:val="24"/>
          <w:szCs w:val="24"/>
          <w14:textFill>
            <w14:solidFill>
              <w14:schemeClr w14:val="tx1"/>
            </w14:solidFill>
          </w14:textFill>
        </w:rPr>
        <w:t>号令第</w:t>
      </w:r>
      <w:r>
        <w:rPr>
          <w:rFonts w:hint="eastAsia" w:ascii="宋体" w:hAnsi="宋体" w:eastAsia="宋体" w:cs="宋体"/>
          <w:color w:val="000000" w:themeColor="text1"/>
          <w:sz w:val="24"/>
          <w:szCs w:val="24"/>
          <w:lang w:val="en-US" w:eastAsia="zh-CN"/>
          <w14:textFill>
            <w14:solidFill>
              <w14:schemeClr w14:val="tx1"/>
            </w14:solidFill>
          </w14:textFill>
        </w:rPr>
        <w:t>五十四</w:t>
      </w:r>
      <w:r>
        <w:rPr>
          <w:rFonts w:hint="eastAsia" w:ascii="宋体" w:hAnsi="宋体" w:eastAsia="宋体" w:cs="宋体"/>
          <w:color w:val="000000" w:themeColor="text1"/>
          <w:sz w:val="24"/>
          <w:szCs w:val="24"/>
          <w14:textFill>
            <w14:solidFill>
              <w14:schemeClr w14:val="tx1"/>
            </w14:solidFill>
          </w14:textFill>
        </w:rPr>
        <w:t>条的规定对违规供应商进行处罚。</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2.6</w:t>
      </w:r>
      <w:r>
        <w:rPr>
          <w:rFonts w:hint="eastAsia" w:ascii="宋体" w:hAnsi="宋体" w:eastAsia="宋体" w:cs="宋体"/>
          <w:color w:val="000000" w:themeColor="text1"/>
          <w:sz w:val="24"/>
          <w:szCs w:val="24"/>
          <w14:textFill>
            <w14:solidFill>
              <w14:schemeClr w14:val="tx1"/>
            </w14:solidFill>
          </w14:textFill>
        </w:rPr>
        <w:t>.出现下列情形之一的，采购人或者采购代理机构应当终止竞争性谈判采购活动，发布项目终止公告并说明原因，重新开展采购活动：</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2.6</w:t>
      </w:r>
      <w:r>
        <w:rPr>
          <w:rFonts w:hint="eastAsia" w:ascii="宋体" w:hAnsi="宋体" w:eastAsia="宋体" w:cs="宋体"/>
          <w:color w:val="000000" w:themeColor="text1"/>
          <w:sz w:val="24"/>
          <w:szCs w:val="24"/>
          <w14:textFill>
            <w14:solidFill>
              <w14:schemeClr w14:val="tx1"/>
            </w14:solidFill>
          </w14:textFill>
        </w:rPr>
        <w:t>.1因情况变化，不再符合规定的竞争性谈判采购方式适用情形的；</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2.6</w:t>
      </w:r>
      <w:r>
        <w:rPr>
          <w:rFonts w:hint="eastAsia" w:ascii="宋体" w:hAnsi="宋体" w:eastAsia="宋体" w:cs="宋体"/>
          <w:color w:val="000000" w:themeColor="text1"/>
          <w:sz w:val="24"/>
          <w:szCs w:val="24"/>
          <w14:textFill>
            <w14:solidFill>
              <w14:schemeClr w14:val="tx1"/>
            </w14:solidFill>
          </w14:textFill>
        </w:rPr>
        <w:t>.2出现影响采购公正的违法、违规行为的；</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2.6</w:t>
      </w:r>
      <w:r>
        <w:rPr>
          <w:rFonts w:hint="eastAsia" w:ascii="宋体" w:hAnsi="宋体" w:eastAsia="宋体" w:cs="宋体"/>
          <w:color w:val="000000" w:themeColor="text1"/>
          <w:sz w:val="24"/>
          <w:szCs w:val="24"/>
          <w14:textFill>
            <w14:solidFill>
              <w14:schemeClr w14:val="tx1"/>
            </w14:solidFill>
          </w14:textFill>
        </w:rPr>
        <w:t>.3在采购过程中符合竞争要求的供应商或者报价未超过采购预算的供应商不足3家的，但《政府采购非招标采购方式管理办法》第二十七条第二款规定的情形除外。</w:t>
      </w:r>
    </w:p>
    <w:p>
      <w:pPr>
        <w:pStyle w:val="5"/>
        <w:pageBreakBefore w:val="0"/>
        <w:widowControl w:val="0"/>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63" w:name="_Toc22055"/>
      <w:r>
        <w:rPr>
          <w:rFonts w:hint="eastAsia" w:ascii="宋体" w:hAnsi="宋体" w:eastAsia="宋体" w:cs="宋体"/>
          <w:b/>
          <w:bCs w:val="0"/>
          <w:color w:val="000000" w:themeColor="text1"/>
          <w:sz w:val="24"/>
          <w:szCs w:val="24"/>
          <w14:textFill>
            <w14:solidFill>
              <w14:schemeClr w14:val="tx1"/>
            </w14:solidFill>
          </w14:textFill>
        </w:rPr>
        <w:t>七、成交通知</w:t>
      </w:r>
      <w:bookmarkEnd w:id="158"/>
      <w:bookmarkEnd w:id="159"/>
      <w:bookmarkEnd w:id="160"/>
      <w:bookmarkEnd w:id="163"/>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成交供应商确定后2个工作日内，</w:t>
      </w:r>
      <w:r>
        <w:rPr>
          <w:rFonts w:hint="eastAsia" w:ascii="宋体" w:hAnsi="宋体" w:eastAsia="宋体" w:cs="宋体"/>
          <w:color w:val="000000" w:themeColor="text1"/>
          <w:sz w:val="24"/>
          <w:szCs w:val="24"/>
          <w:lang w:eastAsia="zh-CN"/>
          <w14:textFill>
            <w14:solidFill>
              <w14:schemeClr w14:val="tx1"/>
            </w14:solidFill>
          </w14:textFill>
        </w:rPr>
        <w:t>采购代理机构将</w:t>
      </w:r>
      <w:r>
        <w:rPr>
          <w:rFonts w:hint="eastAsia" w:ascii="宋体" w:hAnsi="宋体" w:eastAsia="宋体" w:cs="宋体"/>
          <w:color w:val="000000" w:themeColor="text1"/>
          <w:sz w:val="24"/>
          <w:szCs w:val="24"/>
          <w14:textFill>
            <w14:solidFill>
              <w14:schemeClr w14:val="tx1"/>
            </w14:solidFill>
          </w14:textFill>
        </w:rPr>
        <w:t>在</w:t>
      </w:r>
      <w:r>
        <w:rPr>
          <w:rFonts w:hint="eastAsia" w:ascii="宋体" w:hAnsi="宋体" w:eastAsia="宋体" w:cs="宋体"/>
          <w:color w:val="000000" w:themeColor="text1"/>
          <w:sz w:val="24"/>
          <w:szCs w:val="24"/>
          <w:lang w:eastAsia="zh-CN"/>
          <w14:textFill>
            <w14:solidFill>
              <w14:schemeClr w14:val="tx1"/>
            </w14:solidFill>
          </w14:textFill>
        </w:rPr>
        <w:t>“荣昌区人民医院（http://www.cqrc120.com/）”</w:t>
      </w:r>
      <w:r>
        <w:rPr>
          <w:rFonts w:hint="eastAsia" w:ascii="宋体" w:hAnsi="宋体" w:eastAsia="宋体" w:cs="宋体"/>
          <w:color w:val="000000" w:themeColor="text1"/>
          <w:sz w:val="24"/>
          <w:szCs w:val="24"/>
          <w:lang w:val="en-US" w:eastAsia="zh-CN"/>
          <w14:textFill>
            <w14:solidFill>
              <w14:schemeClr w14:val="tx1"/>
            </w14:solidFill>
          </w14:textFill>
        </w:rPr>
        <w:t>网</w:t>
      </w:r>
      <w:r>
        <w:rPr>
          <w:rFonts w:hint="eastAsia" w:ascii="宋体" w:hAnsi="宋体" w:eastAsia="宋体" w:cs="宋体"/>
          <w:color w:val="000000" w:themeColor="text1"/>
          <w:sz w:val="24"/>
          <w:szCs w:val="24"/>
          <w14:textFill>
            <w14:solidFill>
              <w14:schemeClr w14:val="tx1"/>
            </w14:solidFill>
          </w14:textFill>
        </w:rPr>
        <w:t>上发布成交结果公告。</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结果公告发出同时，</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将以书面形式发出《成交通知书》。《成交通知书》一经发出即发生法律效力。</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（三）</w:t>
      </w:r>
      <w:r>
        <w:rPr>
          <w:rFonts w:hint="eastAsia" w:ascii="宋体" w:hAnsi="宋体" w:eastAsia="宋体" w:cs="宋体"/>
          <w:color w:val="000000" w:themeColor="text1"/>
          <w:sz w:val="24"/>
          <w:szCs w:val="24"/>
          <w14:textFill>
            <w14:solidFill>
              <w14:schemeClr w14:val="tx1"/>
            </w14:solidFill>
          </w14:textFill>
        </w:rPr>
        <w:t>《成交通知书》将作为签订合同的依据。</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（四）</w:t>
      </w:r>
      <w:r>
        <w:rPr>
          <w:rFonts w:hint="eastAsia" w:ascii="宋体" w:hAnsi="宋体" w:eastAsia="宋体" w:cs="宋体"/>
          <w:color w:val="000000" w:themeColor="text1"/>
          <w:sz w:val="24"/>
          <w:szCs w:val="24"/>
          <w14:textFill>
            <w14:solidFill>
              <w14:schemeClr w14:val="tx1"/>
            </w14:solidFill>
          </w14:textFill>
        </w:rPr>
        <w:t>如有供应商对成交结果提出质疑的，在质疑处理完毕后发出成交通知书。</w:t>
      </w:r>
    </w:p>
    <w:p>
      <w:pPr>
        <w:pStyle w:val="5"/>
        <w:pageBreakBefore w:val="0"/>
        <w:widowControl w:val="0"/>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bCs w:val="0"/>
          <w:color w:val="000000" w:themeColor="text1"/>
          <w:sz w:val="24"/>
          <w:szCs w:val="24"/>
          <w14:textFill>
            <w14:solidFill>
              <w14:schemeClr w14:val="tx1"/>
            </w14:solidFill>
          </w14:textFill>
        </w:rPr>
      </w:pPr>
      <w:bookmarkStart w:id="164" w:name="_Toc44682685"/>
      <w:bookmarkStart w:id="165" w:name="_Toc403569784"/>
      <w:bookmarkStart w:id="166" w:name="_Toc485108782"/>
      <w:bookmarkStart w:id="167" w:name="_Toc19378"/>
      <w:r>
        <w:rPr>
          <w:rFonts w:hint="eastAsia" w:ascii="宋体" w:hAnsi="宋体" w:eastAsia="宋体" w:cs="宋体"/>
          <w:b/>
          <w:bCs w:val="0"/>
          <w:color w:val="000000" w:themeColor="text1"/>
          <w:sz w:val="24"/>
          <w:szCs w:val="24"/>
          <w14:textFill>
            <w14:solidFill>
              <w14:schemeClr w14:val="tx1"/>
            </w14:solidFill>
          </w14:textFill>
        </w:rPr>
        <w:t>八、关于质疑和投诉</w:t>
      </w:r>
      <w:bookmarkEnd w:id="164"/>
      <w:bookmarkEnd w:id="165"/>
      <w:bookmarkEnd w:id="166"/>
      <w:bookmarkEnd w:id="167"/>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（一）质疑</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供应商认为采购文件、采购过程和成交结果使自己的权益收到伤害的，可向采购人或采购代理机构以书面形式提出质疑。</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提出质疑的应当是参与所质疑项目采购活动的供应商。 </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供应商对采购文件中供应商特定资格条件、技术质量和商务要求、评审标准及评审细则有异议的，应主要向采购人提出质疑，其他问题可向采购代理机构提出质疑。</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质疑时限、内容</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1.1供应商认为采购文件、采购过程、成交结果使自己的权益受到损害的，可以在知道或者应知其权益受到损害之日起7个工作日内，以书面形式向采购人、采购代理机构提出质疑。</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1.2供应商提出质疑应当提交质疑函和必要的证明材料，质疑函应当包括下列内容：</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1.2.1供应商的姓名或者名称、地址、邮编、联系人及联系电话；</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1.2.2质疑项目的名称、项目号；</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1.2.3具体、明确的质疑事项和与质疑事项相关的请求；</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1.2.4事实依据；</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1.2.5必要的法律依据；</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1.2.6提出质疑的日期；</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1.2.7营业执照（或事业单位法人证书，或个体工商户营业执照或有效的自然人身份证明、组织机构代码证）复印件；</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1.2.8法定代表人授权委托书原件、法定代表人身份证复印件和其授权代表的身份证复印件（供应商为自然人的提供自然人身份证复印件）；</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1.3供应商为自然人的，质疑函应当由本人签字；供应商为法人或者其他组织的，质疑函应当由法定代表人、主要负责人，或者其授权代表签字或者盖章，并加盖公章。</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质疑答复</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3.其他</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3.1供应商应按照《政府采购质疑和投诉办法》（财政部令第94号）及相关法律法规要求，在法定质疑期内一次性提出针对同一采购程序环节的质疑。</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3.2质疑函范本可在财政部门户网站和中国政府采购网下载。</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（二）投诉</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供应商对采购人、采购代理机构的答复不满意，或者采购人、采购代理机构未在规定时间内作出答复的，可以在答复期满后15个工作日内按照相关法律法规向</w:t>
      </w:r>
      <w:r>
        <w:rPr>
          <w:rFonts w:hint="eastAsia" w:ascii="宋体" w:hAnsi="宋体" w:eastAsia="宋体" w:cs="宋体"/>
          <w:color w:val="000000" w:themeColor="text1"/>
          <w:sz w:val="24"/>
          <w:szCs w:val="24"/>
          <w:lang w:eastAsia="zh-CN"/>
          <w14:textFill>
            <w14:solidFill>
              <w14:schemeClr w14:val="tx1"/>
            </w14:solidFill>
          </w14:textFill>
        </w:rPr>
        <w:t>重庆市荣昌区人民医院纪律检查委员会</w:t>
      </w:r>
      <w:r>
        <w:rPr>
          <w:rFonts w:hint="eastAsia" w:ascii="宋体" w:hAnsi="宋体" w:eastAsia="宋体" w:cs="宋体"/>
          <w:color w:val="000000" w:themeColor="text1"/>
          <w:sz w:val="24"/>
          <w:szCs w:val="24"/>
          <w14:textFill>
            <w14:solidFill>
              <w14:schemeClr w14:val="tx1"/>
            </w14:solidFill>
          </w14:textFill>
        </w:rPr>
        <w:t>提起投诉。</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供应商应按照《政府采购质疑和投诉办法》（财政部令第94号）及相关法律法规要求递交投诉书和必要的证明材料。投诉书范本可在财政部门户网站和中国政府采购网下载。</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在确定受理投诉后，重庆市荣昌区人民医院纪律检查委员会自受理投诉之日起30个工作日内（需要检验、检测、鉴定、专家评审以及需要投诉人补正材料的，所需时间不计算在投诉处理期限内）对投诉事项做出处理决定。</w:t>
      </w:r>
    </w:p>
    <w:p>
      <w:pPr>
        <w:pStyle w:val="5"/>
        <w:pageBreakBefore w:val="0"/>
        <w:widowControl w:val="0"/>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color w:val="000000" w:themeColor="text1"/>
          <w:sz w:val="24"/>
          <w:szCs w:val="24"/>
          <w14:textFill>
            <w14:solidFill>
              <w14:schemeClr w14:val="tx1"/>
            </w14:solidFill>
          </w14:textFill>
        </w:rPr>
      </w:pPr>
      <w:bookmarkStart w:id="168" w:name="_Toc485108783"/>
      <w:bookmarkStart w:id="169" w:name="_Toc14866"/>
      <w:bookmarkStart w:id="170" w:name="_Toc44682686"/>
      <w:r>
        <w:rPr>
          <w:rFonts w:hint="eastAsia" w:ascii="宋体" w:hAnsi="宋体" w:eastAsia="宋体" w:cs="宋体"/>
          <w:b/>
          <w:color w:val="000000" w:themeColor="text1"/>
          <w:sz w:val="24"/>
          <w:szCs w:val="24"/>
          <w14:textFill>
            <w14:solidFill>
              <w14:schemeClr w14:val="tx1"/>
            </w14:solidFill>
          </w14:textFill>
        </w:rPr>
        <w:t>九、签订合同</w:t>
      </w:r>
      <w:bookmarkEnd w:id="168"/>
      <w:bookmarkEnd w:id="169"/>
      <w:bookmarkEnd w:id="170"/>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1、采购人与成交供应商应当在成交通知书发出之日起30日内，按照采购文件确定的合同文本以及采购标的、规格型号、采购金额、采购数量、技术和服务要求等事项签订政府采购合同。</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2、竞争性谈判文件、成交供应商的响应文件及有效承诺文件等，均为签订合同的依据。</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采购人不得向成交供应商提出超出竞争性谈判以外的任何要求作为签订合同的条件，不得与成交供应商订立背离竞争性谈判确定的合同文本以及采购标的、规格型号、采购金额、采购数量、技术和服务要求等实质性内容的协议。</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pageBreakBefore w:val="0"/>
        <w:widowControl w:val="0"/>
        <w:kinsoku/>
        <w:wordWrap/>
        <w:overflowPunct/>
        <w:topLinePunct w:val="0"/>
        <w:autoSpaceDE/>
        <w:autoSpaceDN/>
        <w:bidi w:val="0"/>
        <w:adjustRightInd/>
        <w:spacing w:line="460" w:lineRule="exact"/>
        <w:textAlignment w:val="auto"/>
        <w:rPr>
          <w:rFonts w:hint="eastAsia" w:ascii="宋体" w:hAnsi="宋体" w:eastAsia="宋体" w:cs="宋体"/>
          <w:b/>
          <w:color w:val="000000" w:themeColor="text1"/>
          <w:sz w:val="36"/>
          <w:szCs w:val="30"/>
          <w14:textFill>
            <w14:solidFill>
              <w14:schemeClr w14:val="tx1"/>
            </w14:solidFill>
          </w14:textFill>
        </w:rPr>
      </w:pPr>
      <w:r>
        <w:rPr>
          <w:rFonts w:hint="eastAsia" w:ascii="宋体" w:hAnsi="宋体" w:eastAsia="宋体" w:cs="宋体"/>
          <w:b/>
          <w:color w:val="000000" w:themeColor="text1"/>
          <w:sz w:val="36"/>
          <w:szCs w:val="30"/>
          <w14:textFill>
            <w14:solidFill>
              <w14:schemeClr w14:val="tx1"/>
            </w14:solidFill>
          </w14:textFill>
        </w:rPr>
        <w:br w:type="page"/>
      </w:r>
    </w:p>
    <w:p>
      <w:pPr>
        <w:pStyle w:val="17"/>
        <w:tabs>
          <w:tab w:val="right" w:leader="dot" w:pos="9402"/>
        </w:tabs>
        <w:spacing w:line="480" w:lineRule="exact"/>
        <w:ind w:left="0" w:leftChars="0"/>
        <w:jc w:val="center"/>
        <w:outlineLvl w:val="0"/>
        <w:rPr>
          <w:rFonts w:hint="eastAsia" w:ascii="宋体" w:hAnsi="宋体" w:eastAsia="宋体" w:cs="宋体"/>
          <w:b/>
          <w:color w:val="000000" w:themeColor="text1"/>
          <w:sz w:val="36"/>
          <w:szCs w:val="30"/>
          <w14:textFill>
            <w14:solidFill>
              <w14:schemeClr w14:val="tx1"/>
            </w14:solidFill>
          </w14:textFill>
        </w:rPr>
      </w:pPr>
      <w:bookmarkStart w:id="171" w:name="_Toc2525"/>
      <w:r>
        <w:rPr>
          <w:rFonts w:hint="eastAsia" w:ascii="宋体" w:hAnsi="宋体" w:eastAsia="宋体" w:cs="宋体"/>
          <w:b/>
          <w:color w:val="000000" w:themeColor="text1"/>
          <w:sz w:val="36"/>
          <w:szCs w:val="30"/>
          <w14:textFill>
            <w14:solidFill>
              <w14:schemeClr w14:val="tx1"/>
            </w14:solidFill>
          </w14:textFill>
        </w:rPr>
        <w:t>第三篇  谈判项目</w:t>
      </w:r>
      <w:r>
        <w:rPr>
          <w:rFonts w:hint="eastAsia" w:ascii="宋体" w:hAnsi="宋体" w:eastAsia="宋体" w:cs="宋体"/>
          <w:b/>
          <w:color w:val="000000" w:themeColor="text1"/>
          <w:sz w:val="36"/>
          <w:szCs w:val="30"/>
          <w:lang w:eastAsia="zh-CN"/>
          <w14:textFill>
            <w14:solidFill>
              <w14:schemeClr w14:val="tx1"/>
            </w14:solidFill>
          </w14:textFill>
        </w:rPr>
        <w:t>技术</w:t>
      </w:r>
      <w:r>
        <w:rPr>
          <w:rFonts w:hint="eastAsia" w:ascii="宋体" w:hAnsi="宋体" w:eastAsia="宋体" w:cs="宋体"/>
          <w:b/>
          <w:color w:val="000000" w:themeColor="text1"/>
          <w:sz w:val="36"/>
          <w:szCs w:val="30"/>
          <w14:textFill>
            <w14:solidFill>
              <w14:schemeClr w14:val="tx1"/>
            </w14:solidFill>
          </w14:textFill>
        </w:rPr>
        <w:t>需求</w:t>
      </w:r>
      <w:bookmarkEnd w:id="161"/>
      <w:bookmarkEnd w:id="162"/>
      <w:bookmarkEnd w:id="171"/>
    </w:p>
    <w:p>
      <w:pPr>
        <w:pStyle w:val="5"/>
        <w:pageBreakBefore w:val="0"/>
        <w:widowControl w:val="0"/>
        <w:kinsoku/>
        <w:wordWrap/>
        <w:overflowPunct/>
        <w:topLinePunct w:val="0"/>
        <w:autoSpaceDE/>
        <w:autoSpaceDN/>
        <w:bidi w:val="0"/>
        <w:adjustRightInd/>
        <w:spacing w:before="0" w:after="0" w:line="400" w:lineRule="exact"/>
        <w:textAlignment w:val="auto"/>
        <w:outlineLvl w:val="1"/>
        <w:rPr>
          <w:rFonts w:hint="eastAsia" w:ascii="宋体" w:hAnsi="宋体" w:eastAsia="宋体" w:cs="宋体"/>
          <w:b/>
          <w:color w:val="000000" w:themeColor="text1"/>
          <w:sz w:val="24"/>
          <w:szCs w:val="24"/>
          <w:lang w:eastAsia="zh-CN"/>
          <w14:textFill>
            <w14:solidFill>
              <w14:schemeClr w14:val="tx1"/>
            </w14:solidFill>
          </w14:textFill>
        </w:rPr>
      </w:pPr>
      <w:bookmarkStart w:id="172" w:name="_Toc29158"/>
      <w:bookmarkStart w:id="173" w:name="_Toc12789058"/>
      <w:r>
        <w:rPr>
          <w:rFonts w:hint="eastAsia" w:ascii="宋体" w:hAnsi="宋体" w:eastAsia="宋体" w:cs="宋体"/>
          <w:b/>
          <w:color w:val="000000" w:themeColor="text1"/>
          <w:sz w:val="24"/>
          <w:szCs w:val="24"/>
          <w:lang w:eastAsia="zh-CN"/>
          <w14:textFill>
            <w14:solidFill>
              <w14:schemeClr w14:val="tx1"/>
            </w14:solidFill>
          </w14:textFill>
        </w:rPr>
        <w:t>一、项目概况</w:t>
      </w:r>
      <w:bookmarkEnd w:id="172"/>
      <w:r>
        <w:rPr>
          <w:rFonts w:hint="eastAsia" w:ascii="宋体" w:hAnsi="宋体" w:eastAsia="宋体" w:cs="宋体"/>
          <w:b/>
          <w:color w:val="000000" w:themeColor="text1"/>
          <w:sz w:val="24"/>
          <w:szCs w:val="24"/>
          <w:lang w:eastAsia="zh-CN"/>
          <w14:textFill>
            <w14:solidFill>
              <w14:schemeClr w14:val="tx1"/>
            </w14:solidFill>
          </w14:textFill>
        </w:rPr>
        <w:t xml:space="preserve"> </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项目名称：荣昌区人民医院门诊弱电改造项目</w:t>
      </w:r>
    </w:p>
    <w:p>
      <w:pPr>
        <w:pStyle w:val="5"/>
        <w:pageBreakBefore w:val="0"/>
        <w:widowControl w:val="0"/>
        <w:numPr>
          <w:ilvl w:val="0"/>
          <w:numId w:val="0"/>
        </w:numPr>
        <w:kinsoku/>
        <w:wordWrap/>
        <w:overflowPunct/>
        <w:topLinePunct w:val="0"/>
        <w:autoSpaceDE/>
        <w:autoSpaceDN/>
        <w:bidi w:val="0"/>
        <w:adjustRightInd/>
        <w:spacing w:before="0" w:after="0" w:line="400" w:lineRule="exact"/>
        <w:textAlignment w:val="auto"/>
        <w:outlineLvl w:val="1"/>
        <w:rPr>
          <w:rFonts w:hint="eastAsia" w:ascii="宋体" w:hAnsi="宋体" w:eastAsia="宋体" w:cs="宋体"/>
          <w:color w:val="000000" w:themeColor="text1"/>
          <w:sz w:val="24"/>
          <w:szCs w:val="24"/>
          <w14:textFill>
            <w14:solidFill>
              <w14:schemeClr w14:val="tx1"/>
            </w14:solidFill>
          </w14:textFill>
        </w:rPr>
      </w:pPr>
      <w:bookmarkStart w:id="174" w:name="_Toc31481"/>
      <w:r>
        <w:rPr>
          <w:rFonts w:hint="eastAsia" w:ascii="宋体" w:hAnsi="宋体" w:eastAsia="宋体" w:cs="宋体"/>
          <w:color w:val="000000" w:themeColor="text1"/>
          <w:sz w:val="24"/>
          <w:szCs w:val="24"/>
          <w:lang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主要设备技术需求</w:t>
      </w:r>
      <w:bookmarkEnd w:id="174"/>
    </w:p>
    <w:tbl>
      <w:tblPr>
        <w:tblStyle w:val="20"/>
        <w:tblW w:w="10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796"/>
        <w:gridCol w:w="5898"/>
        <w:gridCol w:w="1067"/>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序号</w:t>
            </w:r>
          </w:p>
        </w:tc>
        <w:tc>
          <w:tcPr>
            <w:tcW w:w="7694"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主要设备技术</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工程量</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86底盒</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只含底盒</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530</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管卡</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PVC配套材料</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kern w:val="2"/>
                <w:sz w:val="24"/>
                <w:szCs w:val="24"/>
                <w:lang w:val="en-US" w:eastAsia="zh-CN" w:bidi="ar-SA"/>
              </w:rPr>
            </w:pPr>
            <w:r>
              <w:rPr>
                <w:rFonts w:hint="eastAsia" w:ascii="宋体" w:hAnsi="宋体" w:cs="宋体"/>
                <w:color w:val="auto"/>
                <w:sz w:val="22"/>
                <w:szCs w:val="22"/>
                <w:lang w:val="en-US" w:eastAsia="zh-CN"/>
              </w:rPr>
              <w:t>按实际需求</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光纤线</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1.万兆12芯光纤</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2.含人工</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kern w:val="2"/>
                <w:sz w:val="24"/>
                <w:szCs w:val="24"/>
                <w:lang w:val="en-US" w:eastAsia="zh-CN" w:bidi="ar-SA"/>
              </w:rPr>
            </w:pPr>
            <w:r>
              <w:rPr>
                <w:rFonts w:hint="eastAsia" w:ascii="宋体" w:hAnsi="宋体" w:cs="宋体"/>
                <w:color w:val="auto"/>
                <w:sz w:val="22"/>
                <w:szCs w:val="22"/>
                <w:lang w:val="en-US" w:eastAsia="zh-CN"/>
              </w:rPr>
              <w:t>按实际需求</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光纤线</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1.万兆2米跳线</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2.含人工</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kern w:val="2"/>
                <w:sz w:val="24"/>
                <w:szCs w:val="24"/>
                <w:lang w:val="en-US" w:eastAsia="zh-CN" w:bidi="ar-SA"/>
              </w:rPr>
            </w:pPr>
            <w:r>
              <w:rPr>
                <w:rFonts w:hint="eastAsia" w:ascii="宋体" w:hAnsi="宋体" w:cs="宋体"/>
                <w:color w:val="auto"/>
                <w:sz w:val="22"/>
                <w:szCs w:val="22"/>
                <w:lang w:val="en-US" w:eastAsia="zh-CN"/>
              </w:rPr>
              <w:t>按实际需求</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CAT6 网线</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 工作电容：≤5.6 nF/100米</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 线对对地电容不平衡：≤330 pF/100米</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3. 额定传输速率（NVP)：65%</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4. 线对时延差：≤45ns/100米</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5. 最大导体直流电阻：7.32Ω /100米 (23AWG)</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6. 线对直流不平衡电阻： ≤2%</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7. 绝缘电阻最小值(MΩ/Km)：5000</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8.包含人工安装费用</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kern w:val="2"/>
                <w:sz w:val="24"/>
                <w:szCs w:val="24"/>
                <w:lang w:val="en-US" w:eastAsia="zh-CN" w:bidi="ar-SA"/>
              </w:rPr>
            </w:pPr>
            <w:r>
              <w:rPr>
                <w:rFonts w:hint="eastAsia" w:ascii="宋体" w:hAnsi="宋体" w:cs="宋体"/>
                <w:color w:val="auto"/>
                <w:sz w:val="22"/>
                <w:szCs w:val="22"/>
                <w:lang w:val="en-US" w:eastAsia="zh-CN"/>
              </w:rPr>
              <w:t>按实际需求</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光纤盒</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光纤类型 万兆多模</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插入损耗 MPO:典型值≤0.50dB，最大值≤0.70dB；分支端连接器：典型值≤0.20dB，最大值≤0.30dB</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回波损耗  APC≥60dB  UPC≥50dB</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插拔次数  MPO：500次；分支端连接器：插拔1000次</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抗拉强度 ≥120N(0.9mm光缆除外)</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光纤弯曲半径：≥40m</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2"/>
                <w:szCs w:val="22"/>
                <w:lang w:val="en-US" w:eastAsia="zh-CN"/>
              </w:rPr>
              <w:t>按实际需求</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静电地板</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1、规格：600*600mm</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2、钢壳厚度：0.6mm</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3、面层：三聚氰胺贴面</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4、材质：上海宝钢优质冷轧钢质</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5、填充料：发泡水泥</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6、单块重量：24斤</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7、载荷：400KG</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8、防火等级：A级</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18</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eastAsia="宋体" w:cs="宋体"/>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48口接入交换机</w:t>
            </w:r>
          </w:p>
        </w:tc>
        <w:tc>
          <w:tcPr>
            <w:tcW w:w="5898" w:type="dxa"/>
            <w:noWrap w:val="0"/>
            <w:vAlign w:val="center"/>
          </w:tcPr>
          <w:p>
            <w:pPr>
              <w:keepNext w:val="0"/>
              <w:keepLines w:val="0"/>
              <w:pageBreakBefore w:val="0"/>
              <w:widowControl w:val="0"/>
              <w:numPr>
                <w:ilvl w:val="0"/>
                <w:numId w:val="2"/>
              </w:numPr>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千兆电口≥48个，万兆光口≥4个；交换容量≥430Gbps；包转发率≥144Mpps；</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2、支持16K MAC 地址表项，支持静态、动态、黑洞MAC表项 ，支持源MAC地址过滤 ；</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3、支持4K 802.1Q VLAN，支持基于MAC/ IP子网/认证策略/端口的VLAN，支持GVRP，支持QinQ ；</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4、支持STP、RSTP、MSTP ；</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5、支持静态路由、RIPv1/2 ，支持静态路由、RIPv1/2、OSPF；</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6、半年内不得有被公安网络安全部门通报过的品牌。</w:t>
            </w:r>
          </w:p>
        </w:tc>
        <w:tc>
          <w:tcPr>
            <w:tcW w:w="106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20</w:t>
            </w:r>
          </w:p>
        </w:tc>
        <w:tc>
          <w:tcPr>
            <w:tcW w:w="81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24口汇聚交换机</w:t>
            </w:r>
          </w:p>
        </w:tc>
        <w:tc>
          <w:tcPr>
            <w:tcW w:w="5898" w:type="dxa"/>
            <w:noWrap w:val="0"/>
            <w:vAlign w:val="center"/>
          </w:tcPr>
          <w:p>
            <w:pPr>
              <w:keepNext w:val="0"/>
              <w:keepLines w:val="0"/>
              <w:pageBreakBefore w:val="0"/>
              <w:widowControl w:val="0"/>
              <w:numPr>
                <w:ilvl w:val="0"/>
                <w:numId w:val="3"/>
              </w:numPr>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配置要求：配备不少于24端口万兆光口，2个40G QSFP Plus端口，模块化双电源,模块化双风扇，两台设备做横向虚拟化；</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2.设备性能：交换容量≥2.5Tbps，包转发率≥720Mpps；</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3.数据中心特性：支持SDN、支持VXLAN并实配VXLAN功能；</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4.横向虚拟化：支持跨设备链路聚合，单一IP管理，分布式弹性路由；</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5.三层路由功能：支持静态路由、RIP v1/2、OSPF、BGP等动态路由协议，支持RIPng、OSPF V3、IS-IS V6、BGP+ FOR IPV6、IPV6策略路由，支持VRRP，支持等价路由;</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6.为保证扩容需求，设备提供不少于2个业务接口扩展槽位，提供万兆电口及万兆光口扩展能力</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highlight w:val="none"/>
                <w:lang w:val="en-US" w:eastAsia="zh-CN"/>
              </w:rPr>
              <w:t>7.设备制造商须是国家信息安全漏洞共享平台（CNVD）技术组成员,是国家信息安全漏洞库（CNNVD）一级技术支撑单位；</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lang w:val="en-US" w:eastAsia="zh-CN"/>
              </w:rPr>
              <w:t>8.半年内不得有被公安网络安全部门通报过的品牌。</w:t>
            </w:r>
          </w:p>
        </w:tc>
        <w:tc>
          <w:tcPr>
            <w:tcW w:w="106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p>
        </w:tc>
        <w:tc>
          <w:tcPr>
            <w:tcW w:w="81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25对配线架</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1.名称:25对配线架</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2.规格:配线架</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3.容量:25对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1.安装、打接</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9</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42U交换机柜</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1.名称:弱电箱</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1.本体安装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2.单体调试</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12</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9U交换壁柜</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1.名称:弱电箱</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1.本体安装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2.单体调试</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16</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AC</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1、配置要求：WAN 2*GE + LAN 4*GE + LAN 2*GE </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Combo 默认 0AP，最大 108 吸顶/216</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面板，本次配置74个无线AP管理授权；</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2、设备性能：整机吞吐量≥1.4Gbps；</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3、该设备同时支持集中认证本地转发的组网方式，在数据流本地转发的情况下，提供802.1X和Portal的集中认证和管理。</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4、支持智能AP负载分担：通过控制无线客户端接入的AP，来实现这些AP间的负载分担，系统不仅支持按照用户在线会话数的负载分担，而且支持按照用户流量负载的分担。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5、支持快速的二、三层漫游：这种优秀的漫游特性，可以让客户在规划无线网络时，无需过多考虑现有网络的规划，更多关注在无线信号的覆盖即可，这种方式大大简化了前期的网络规划，减少了网络规划成本。</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6、端到端的QoS：QoS Diff-Serv 模型中主要包括流分类、流量监管(Policing)、队列管理、队列调度(Scheduling)等，完整实现了标准中定义的EF、AF1～AF4、BE等六组PHB及业务，使网络运营商可为用户提供具有不同服务质量等级的服务保证，使Internet真正成为同时承载数据、语音和视频业务的综合网络。</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7、内置射频优化引擎；通过基于特征和协议的射频优化，有效提升无线部署中高密度接入、流媒体传输等场景中的应用加速能力和质量保障效果。其中包含：多用户公平调度、混合接入公平、过滤干扰、速率最优、频谱导航、组播增强(IPv4/IPv6)、逐包功率控制和智能带宽保障等</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lang w:val="en-US" w:eastAsia="zh-CN"/>
              </w:rPr>
              <w:t>8、半年内不得有被公安网络安全部门通报过的品牌。</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AP汇聚交换机</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1.单台设备配置要求：配备≥24个千兆光口，≥8个千兆电口，≥4个万兆光口；</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2.设备性能：交换容量≥432Gbps，包转发率≥166Mpps；</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3.可靠性;支持可插拔交、直双电源模块可靠性设计，可以根据实际环境的需要灵活配置交流或直流电源模块，此外整机还支持电源和风扇的故障检测及告警</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4.支持基于端口的二三层优先级自动映射，支持基于端口的镜像，支持重定向，支持端口隔离，支持访问控制列表，支持端口限速，支持丰富以太网IPv6功能。</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5.管理特性：要求支持SmartMC以设备内置及图形化操作的方式，实现对网络的统一运维及管理</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lang w:val="en-US" w:eastAsia="zh-CN"/>
              </w:rPr>
              <w:t>6.支持链路聚合，支持10GE端口聚合，支持静态聚合，支持动态聚合，支持跨设备聚合，支持零配置启动；</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7.支持CAR（Committed Access Rate）功能，粒度最小达16Kbps。支持出、入两个方向的端口镜像，用于对指定端口上的报文进行监控，将端口上的数据包复制到监控端口，以进行网络检测和故障排除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lang w:val="en-US" w:eastAsia="zh-CN"/>
              </w:rPr>
              <w:t>8.支持EAD（终端准入控制）功能，配合后台系统可以将终端防病毒、补丁修复等终端安全措施与网络接入控制。</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lang w:val="en-US" w:eastAsia="zh-CN"/>
              </w:rPr>
              <w:t>9.安全性；支持抗攻击功能；支持ACL功能；支持OSPFv2、BGP4路由协议安全；支持流分类功能；支持SNMPv1/v2/v3网管；支持用户访问控制和安全审计功</w:t>
            </w:r>
            <w:r>
              <w:rPr>
                <w:rFonts w:hint="eastAsia" w:ascii="宋体" w:hAnsi="宋体" w:eastAsia="宋体" w:cs="宋体"/>
                <w:color w:val="auto"/>
                <w:sz w:val="24"/>
                <w:szCs w:val="24"/>
                <w:highlight w:val="none"/>
                <w:lang w:val="en-US" w:eastAsia="zh-CN"/>
              </w:rPr>
              <w:t>能；提供具有CNAS认可的检测报告；</w:t>
            </w:r>
            <w:r>
              <w:rPr>
                <w:rFonts w:hint="eastAsia" w:ascii="宋体" w:hAnsi="宋体" w:eastAsia="宋体" w:cs="宋体"/>
                <w:color w:val="auto"/>
                <w:sz w:val="24"/>
                <w:szCs w:val="24"/>
                <w:highlight w:val="yellow"/>
                <w:lang w:val="en-US" w:eastAsia="zh-CN"/>
              </w:rPr>
              <w:br w:type="textWrapping"/>
            </w:r>
            <w:r>
              <w:rPr>
                <w:rFonts w:hint="eastAsia" w:ascii="宋体" w:hAnsi="宋体" w:eastAsia="宋体" w:cs="宋体"/>
                <w:color w:val="auto"/>
                <w:sz w:val="24"/>
                <w:szCs w:val="24"/>
                <w:lang w:val="en-US" w:eastAsia="zh-CN"/>
              </w:rPr>
              <w:t>10.资质要求；提供信产部入网证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11.半年内不得有被公安网络安全部门通报过的品牌。</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2</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POE交换机</w:t>
            </w:r>
          </w:p>
        </w:tc>
        <w:tc>
          <w:tcPr>
            <w:tcW w:w="5898" w:type="dxa"/>
            <w:noWrap w:val="0"/>
            <w:vAlign w:val="center"/>
          </w:tcPr>
          <w:p>
            <w:pPr>
              <w:keepNext w:val="0"/>
              <w:keepLines w:val="0"/>
              <w:pageBreakBefore w:val="0"/>
              <w:widowControl w:val="0"/>
              <w:numPr>
                <w:ilvl w:val="0"/>
                <w:numId w:val="4"/>
              </w:numPr>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千兆电口≥24个，万兆SFP+光口≥4个，USB接口≥1个；；</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2、交换容量≥336Gbps，包转发率≥152Mpps；</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3、接口类型：可用千兆接口数量≥48，上行万兆光接口数量≥4个;支持POE+供电</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4、支持虚拟化堆叠技术(最大9组)</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5、VLAN：支持基于端口的VLAN、基于MAC的VLAN；支持GVRP；支持VLAN Mapping  支持Guest VLAN；最大VLAN数(不是VLAN ID)≥4K</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6、镜像功能：支持端口镜像、流镜像(提供官方截图证明并盖章)</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7、QoS：支持双向端口限速 、流限速，限速粒度&lt;=16kbps；支持SP、WRR、SP+WRR调度方式；每端口支持8个优先级队列</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8、组播协议：支持IGMP Snooping v1/v2/v3、支持MLD Snooping v1/v2 ，支持组播VLAN</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9、二层环网：支持STP/RSTP/MSTP协议</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10、访问控制策略：支持基于第二层、第三层和第四层的ACL；支持基于端口和VLAN下发 ACL；支持IPv6 ACL功能；</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11、支持802.1x认证及集中式MAC地址认证；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12、路由功能：支持IPv4静态路由</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13、安全特性：支持IP+MAC+PORT+VLAN的多元组绑定</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lang w:val="en-US" w:eastAsia="zh-CN"/>
              </w:rPr>
              <w:t>14、支持DHCP Snooping，防止欺骗的DHCP服务器；支持ARP检测来抵御ARP欺骗攻击</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lang w:val="en-US" w:eastAsia="zh-CN"/>
              </w:rPr>
              <w:t>支持IP Source Guard；支持防DOS攻击；支持MAC地址学习数目限制；</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15、管理和维护：支持SNMP V1/V2/V3、SSHV2；支持虚电缆检测功能(VCT)，快速准确定位网络中故障电缆的短路或断路点；支持集群管理；支持通过命令行、Web、中文图形化配置软件等方式进行配置和管理。</w:t>
            </w:r>
            <w:r>
              <w:rPr>
                <w:rFonts w:hint="eastAsia" w:ascii="宋体" w:hAnsi="宋体" w:eastAsia="宋体" w:cs="宋体"/>
                <w:color w:val="auto"/>
                <w:sz w:val="24"/>
                <w:szCs w:val="24"/>
                <w:highlight w:val="none"/>
                <w:lang w:val="en-US" w:eastAsia="zh-CN"/>
              </w:rPr>
              <w:br w:type="textWrapping"/>
            </w:r>
            <w:r>
              <w:rPr>
                <w:rFonts w:hint="eastAsia" w:ascii="宋体" w:hAnsi="宋体" w:eastAsia="宋体" w:cs="宋体"/>
                <w:color w:val="auto"/>
                <w:sz w:val="24"/>
                <w:szCs w:val="24"/>
                <w:lang w:val="en-US" w:eastAsia="zh-CN"/>
              </w:rPr>
              <w:t>16、资质认证：提供信产部入网证和检验报告；满足材料环保与安全性的欧盟RoHS标准</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17、提供制造商售后服务承诺函。</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18、半年内不得有被公安网络安全部门通报过的品牌。</w:t>
            </w:r>
          </w:p>
        </w:tc>
        <w:tc>
          <w:tcPr>
            <w:tcW w:w="106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10</w:t>
            </w:r>
          </w:p>
        </w:tc>
        <w:tc>
          <w:tcPr>
            <w:tcW w:w="81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16</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AP桥接器</w:t>
            </w:r>
          </w:p>
        </w:tc>
        <w:tc>
          <w:tcPr>
            <w:tcW w:w="5898" w:type="dxa"/>
            <w:noWrap w:val="0"/>
            <w:vAlign w:val="center"/>
          </w:tcPr>
          <w:p>
            <w:pPr>
              <w:keepNext w:val="0"/>
              <w:keepLines w:val="0"/>
              <w:pageBreakBefore w:val="0"/>
              <w:widowControl w:val="0"/>
              <w:numPr>
                <w:ilvl w:val="0"/>
                <w:numId w:val="5"/>
              </w:numPr>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双频室内AP，内置天线。支持标准的802、11ac wave2协议，支持2、4GHz和5GHz频段同时工作；</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2、整机最大接入速率≥1、167Gbps；</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3、提供≥1个10/100/1000Base-T以太网上联端口；</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4、支持USB接口，为降低部署成本支持预配置文件通过U盘加载实现即插即用</w:t>
            </w:r>
            <w:r>
              <w:rPr>
                <w:rFonts w:hint="eastAsia" w:ascii="宋体" w:hAnsi="宋体" w:eastAsia="宋体" w:cs="宋体"/>
                <w:color w:val="auto"/>
                <w:sz w:val="24"/>
                <w:szCs w:val="24"/>
                <w:highlight w:val="none"/>
                <w:lang w:val="en-US" w:eastAsia="zh-CN"/>
              </w:rPr>
              <w:t>。提供官网链接及截图；</w:t>
            </w:r>
            <w:r>
              <w:rPr>
                <w:rFonts w:hint="eastAsia" w:ascii="宋体" w:hAnsi="宋体" w:eastAsia="宋体" w:cs="宋体"/>
                <w:color w:val="auto"/>
                <w:sz w:val="24"/>
                <w:szCs w:val="24"/>
                <w:highlight w:val="yellow"/>
                <w:lang w:val="en-US" w:eastAsia="zh-CN"/>
              </w:rPr>
              <w:br w:type="textWrapping"/>
            </w:r>
            <w:r>
              <w:rPr>
                <w:rFonts w:hint="eastAsia" w:ascii="宋体" w:hAnsi="宋体" w:eastAsia="宋体" w:cs="宋体"/>
                <w:color w:val="auto"/>
                <w:sz w:val="24"/>
                <w:szCs w:val="24"/>
                <w:lang w:val="en-US" w:eastAsia="zh-CN"/>
              </w:rPr>
              <w:t>5、支持PoE以太网供电（支持802、3af/802、3at兼容供电）和本地供电（DC 12V）；</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6、瘦AP模式下，AP可通过PPPoE、静态地址分配、动态地址获取等方式直接链接互联网线路，并且和远端AC建立CAPWAP加密隧道，便于AC集中管理维护，保留测试验证权利。</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7、为保障后期运维管理，减轻运维压力，要求无线控制器、无线AP、交换机为同一品牌；</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8、为保障后期运维管理，减轻运维压力，要求无线控制器、无线AP、交换机为同一品牌；</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9、提供无线电发射设备型号核准证；提供密码检测证书；</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10、半年内不得有被公安网络安全部门通报过的品牌。</w:t>
            </w:r>
          </w:p>
        </w:tc>
        <w:tc>
          <w:tcPr>
            <w:tcW w:w="106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74</w:t>
            </w:r>
          </w:p>
        </w:tc>
        <w:tc>
          <w:tcPr>
            <w:tcW w:w="811"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17</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网络四口插座</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1.名称:网络四口插座</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2.类别:网络插座</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3.规格:四口</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4.安装方式:暗装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5.底盒材质、规格:塑料</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1.端接模块</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2.安装面板</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350</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18</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网络双口地插座</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1.名称:网络双口地插座</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2.类别:网络地插座</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3.规格:双口</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4.安装方式:暗装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5.底盒材质、规格:塑料</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1.端接模块</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2.安装面板</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100</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19</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网络单口插座</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1.名称:网络单口插座</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2.类别:网络插座</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3.规格:单口</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4.安装方式:暗装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5.底盒材质、规格:塑料</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1.端接模块</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2.安装面板</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80</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光接收机</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1.名称:光接收机</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1.本体安装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2.单体调试</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21</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混合器</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1.名称:混合器</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1.本体安装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2.单体调试</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22</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监视器</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1.名称:监视器</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1.本体安装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2.系统调试</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23</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调制器</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1.名称:调制器</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1.本体安装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2.系统调试</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24</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门磁开关</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1.名称:门磁开关</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1.本体安装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2.单体调试</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25</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门禁服务器</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1.名称:门禁服务器</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1.本体安装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2.插件安装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3.接信号线、电源线、地线</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26</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扬声器(3~6W)</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1.名称:扬声器(3~6W)</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2.安装方式:吸顶</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1.本体安装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2.单体调试</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62</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27</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电源定时器</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1.名称:电源定时器</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2.安装方式:明装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1.本体安装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2.单体调试</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28</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DVD播放器</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1.名称:DVD播放器</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2.类别:播放器</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3.规格:DVD</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4.安装方式:明装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1.本体安装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2.单体调试</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29</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前置信号放大器</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1.名称:前置信号放大器</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1.本体安装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2.单体调试</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30</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广播功放</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1.名称:广播功放</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2.安装方式:明装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1.本体安装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2.单体调试</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31</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分区矩阵器</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1.名称:分区矩阵器</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2.安装方式:明装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1.本体安装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2.单体调试</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32</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话筒</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[项目特征]</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1.名称:话筒</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2.安装方式:明转</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[工作内容]</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1.本体安装</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2.单体调试</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33</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门诊网络管理及配套工程</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施工周期5个工作日</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门诊网络管理；门诊网络管理需3名工程师驻场一年；</w:t>
            </w:r>
            <w:r>
              <w:rPr>
                <w:rFonts w:hint="eastAsia" w:ascii="宋体" w:hAnsi="宋体" w:eastAsia="宋体" w:cs="宋体"/>
                <w:color w:val="auto"/>
                <w:sz w:val="24"/>
                <w:szCs w:val="24"/>
                <w:lang w:val="en-US" w:eastAsia="zh-CN"/>
              </w:rPr>
              <w:br w:type="textWrapping"/>
            </w:r>
            <w:r>
              <w:rPr>
                <w:rFonts w:hint="eastAsia" w:ascii="宋体" w:hAnsi="宋体" w:eastAsia="宋体" w:cs="宋体"/>
                <w:color w:val="auto"/>
                <w:sz w:val="24"/>
                <w:szCs w:val="24"/>
                <w:lang w:val="en-US" w:eastAsia="zh-CN"/>
              </w:rPr>
              <w:t>项目包含原有设备线缆的拆除工作，及新装设备安装调试</w:t>
            </w: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34</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JDG管DN20暗敷</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left"/>
              <w:textAlignment w:val="auto"/>
              <w:rPr>
                <w:rFonts w:hint="eastAsia" w:ascii="宋体" w:hAnsi="宋体" w:eastAsia="宋体" w:cs="宋体"/>
                <w:color w:val="auto"/>
                <w:sz w:val="24"/>
                <w:szCs w:val="24"/>
              </w:rPr>
            </w:pP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4519.47</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35</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管内穿线UTPCAT6</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left"/>
              <w:textAlignment w:val="auto"/>
              <w:rPr>
                <w:rFonts w:hint="eastAsia" w:ascii="宋体" w:hAnsi="宋体" w:eastAsia="宋体" w:cs="宋体"/>
                <w:color w:val="auto"/>
                <w:sz w:val="24"/>
                <w:szCs w:val="24"/>
              </w:rPr>
            </w:pP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4044</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36</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桥架配线UTPCAT6</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left"/>
              <w:textAlignment w:val="auto"/>
              <w:rPr>
                <w:rFonts w:hint="eastAsia" w:ascii="宋体" w:hAnsi="宋体" w:eastAsia="宋体" w:cs="宋体"/>
                <w:color w:val="auto"/>
                <w:sz w:val="24"/>
                <w:szCs w:val="24"/>
              </w:rPr>
            </w:pP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9480.34</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779"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37</w:t>
            </w:r>
          </w:p>
        </w:tc>
        <w:tc>
          <w:tcPr>
            <w:tcW w:w="1796"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管内穿线12芯光纤</w:t>
            </w:r>
          </w:p>
        </w:tc>
        <w:tc>
          <w:tcPr>
            <w:tcW w:w="5898"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left"/>
              <w:textAlignment w:val="auto"/>
              <w:rPr>
                <w:rFonts w:hint="eastAsia" w:ascii="宋体" w:hAnsi="宋体" w:eastAsia="宋体" w:cs="宋体"/>
                <w:color w:val="auto"/>
                <w:sz w:val="24"/>
                <w:szCs w:val="24"/>
              </w:rPr>
            </w:pPr>
          </w:p>
        </w:tc>
        <w:tc>
          <w:tcPr>
            <w:tcW w:w="1067"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394.72</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m</w:t>
            </w:r>
          </w:p>
        </w:tc>
      </w:tr>
    </w:tbl>
    <w:p>
      <w:pPr>
        <w:pStyle w:val="5"/>
        <w:pageBreakBefore w:val="0"/>
        <w:widowControl w:val="0"/>
        <w:kinsoku/>
        <w:wordWrap/>
        <w:overflowPunct/>
        <w:topLinePunct w:val="0"/>
        <w:autoSpaceDE/>
        <w:autoSpaceDN/>
        <w:bidi w:val="0"/>
        <w:adjustRightInd/>
        <w:snapToGrid/>
        <w:spacing w:before="0" w:after="0" w:line="440" w:lineRule="atLeast"/>
        <w:textAlignment w:val="auto"/>
        <w:outlineLvl w:val="1"/>
        <w:rPr>
          <w:rFonts w:hint="eastAsia" w:ascii="宋体" w:hAnsi="宋体" w:eastAsia="宋体" w:cs="宋体"/>
          <w:b/>
          <w:color w:val="000000" w:themeColor="text1"/>
          <w:sz w:val="24"/>
          <w:szCs w:val="24"/>
          <w:lang w:val="en-US" w:eastAsia="zh-CN"/>
          <w14:textFill>
            <w14:solidFill>
              <w14:schemeClr w14:val="tx1"/>
            </w14:solidFill>
          </w14:textFill>
        </w:rPr>
      </w:pPr>
      <w:bookmarkStart w:id="175" w:name="_Toc1509"/>
      <w:r>
        <w:rPr>
          <w:rFonts w:hint="eastAsia" w:ascii="宋体" w:hAnsi="宋体" w:eastAsia="宋体" w:cs="宋体"/>
          <w:b/>
          <w:color w:val="000000" w:themeColor="text1"/>
          <w:sz w:val="24"/>
          <w:szCs w:val="24"/>
          <w:lang w:val="en-US" w:eastAsia="zh-CN"/>
          <w14:textFill>
            <w14:solidFill>
              <w14:schemeClr w14:val="tx1"/>
            </w14:solidFill>
          </w14:textFill>
        </w:rPr>
        <w:t>三、</w:t>
      </w:r>
      <w:bookmarkStart w:id="176" w:name="_Toc31743"/>
      <w:r>
        <w:rPr>
          <w:rFonts w:hint="eastAsia" w:ascii="宋体" w:hAnsi="宋体" w:eastAsia="宋体" w:cs="宋体"/>
          <w:b/>
          <w:color w:val="000000" w:themeColor="text1"/>
          <w:sz w:val="24"/>
          <w:szCs w:val="24"/>
          <w:lang w:val="en-US" w:eastAsia="zh-CN"/>
          <w14:textFill>
            <w14:solidFill>
              <w14:schemeClr w14:val="tx1"/>
            </w14:solidFill>
          </w14:textFill>
        </w:rPr>
        <w:t>技术标准及规范要求</w:t>
      </w:r>
      <w:bookmarkEnd w:id="175"/>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本工程要求成交供应商实施交钥匙工程。包括负责对本工程要求的所有智能化系统及其相关系统供货、系统施工和协调管理、调试运行、编制运行操作书、技术指导与培训等工程全过程，交付使用后质保期服务；同时亦包括运输、保管和保修。</w:t>
      </w:r>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2、本项目为改造工程，包含所有旧设备的拆除</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新设施设备安装调试</w:t>
      </w:r>
      <w:r>
        <w:rPr>
          <w:rFonts w:hint="eastAsia" w:ascii="宋体" w:hAnsi="宋体" w:cs="宋体"/>
          <w:color w:val="000000" w:themeColor="text1"/>
          <w:sz w:val="24"/>
          <w:szCs w:val="24"/>
          <w:lang w:val="en-US" w:eastAsia="zh-CN"/>
          <w14:textFill>
            <w14:solidFill>
              <w14:schemeClr w14:val="tx1"/>
            </w14:solidFill>
          </w14:textFill>
        </w:rPr>
        <w:t>及</w:t>
      </w:r>
      <w:r>
        <w:rPr>
          <w:rFonts w:hint="eastAsia" w:ascii="宋体" w:hAnsi="宋体" w:eastAsia="宋体" w:cs="宋体"/>
          <w:color w:val="000000" w:themeColor="text1"/>
          <w:sz w:val="24"/>
          <w:szCs w:val="24"/>
          <w:lang w:val="en-US" w:eastAsia="zh-CN"/>
          <w14:textFill>
            <w14:solidFill>
              <w14:schemeClr w14:val="tx1"/>
            </w14:solidFill>
          </w14:textFill>
        </w:rPr>
        <w:t>上线</w:t>
      </w:r>
      <w:r>
        <w:rPr>
          <w:rFonts w:hint="eastAsia" w:ascii="宋体" w:hAnsi="宋体" w:cs="宋体"/>
          <w:color w:val="000000" w:themeColor="text1"/>
          <w:sz w:val="24"/>
          <w:szCs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供应商应根据谈判文件及本技术文件，合理选择信誉良好的厂商所提供的性价比高的国产中高档设备、材料。</w:t>
      </w:r>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val="en-US" w:eastAsia="zh-CN"/>
          <w14:textFill>
            <w14:solidFill>
              <w14:schemeClr w14:val="tx1"/>
            </w14:solidFill>
          </w14:textFill>
        </w:rPr>
        <w:t>、所有在谈判图纸中没有显示出来，但在本技术要求中所提及的设备、材料、软件等必须全部包括在本项目承包合同内，由成交供应商供应和安装调试。没有明确说明，但在整体设备安装时，不能缺少的一切附属配件，亦应包括在本承包合同范围内，由成交供应商供应和安装。</w:t>
      </w:r>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、成交供应商必须严格按采购人项目总体装修施工进度要求编制切实可行的智能化专项施工进度计划。</w:t>
      </w:r>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lang w:val="en-US" w:eastAsia="zh-CN"/>
          <w14:textFill>
            <w14:solidFill>
              <w14:schemeClr w14:val="tx1"/>
            </w14:solidFill>
          </w14:textFill>
        </w:rPr>
        <w:t>、成交供应商设备、材料采购前必须按谈判文件中的品牌要求申报审核，在送审通过的情况下，经过采购人、监理现场验收合格后方可用于现场安装，对不符合质量的产品严格清退出场，采购人不承担任何费用支出。</w:t>
      </w:r>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w:t>
      </w:r>
      <w:r>
        <w:rPr>
          <w:rFonts w:hint="eastAsia" w:ascii="宋体" w:hAnsi="宋体" w:eastAsia="宋体" w:cs="宋体"/>
          <w:color w:val="000000" w:themeColor="text1"/>
          <w:sz w:val="24"/>
          <w:szCs w:val="24"/>
          <w:lang w:val="en-US" w:eastAsia="zh-CN"/>
          <w14:textFill>
            <w14:solidFill>
              <w14:schemeClr w14:val="tx1"/>
            </w14:solidFill>
          </w14:textFill>
        </w:rPr>
        <w:t>、成交供应商必须在确认成交后严格按采购人对施工进度的总体要求按照设备清单明细组织材料设备到达现场，否则可视为无履行合同能力，采购人有权根据事情严重、紧急情况作出相应惩罚甚至终止合同。</w:t>
      </w:r>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val="en-US" w:eastAsia="zh-CN"/>
          <w14:textFill>
            <w14:solidFill>
              <w14:schemeClr w14:val="tx1"/>
            </w14:solidFill>
          </w14:textFill>
        </w:rPr>
        <w:t>、成交供应商进场后须服从建设单位和监理单位的整体管理，积极配合与其他单位的交叉施工，该施工配合费由供应商自行考虑，纳入响应报价中，若遗漏，自行承担。若成交供应商不配合管理，采购人有权扣除全部履约保证金。</w:t>
      </w:r>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lang w:val="en-US" w:eastAsia="zh-CN"/>
          <w14:textFill>
            <w14:solidFill>
              <w14:schemeClr w14:val="tx1"/>
            </w14:solidFill>
          </w14:textFill>
        </w:rPr>
        <w:t>、施工完成初验通过，进入试运行阶段。试运行期间成交供应商要及时响应建设单位需求，及时安排技术人员现场处理问题。</w:t>
      </w:r>
    </w:p>
    <w:p>
      <w:pPr>
        <w:pStyle w:val="5"/>
        <w:pageBreakBefore w:val="0"/>
        <w:widowControl w:val="0"/>
        <w:kinsoku/>
        <w:wordWrap/>
        <w:overflowPunct/>
        <w:topLinePunct w:val="0"/>
        <w:autoSpaceDE/>
        <w:autoSpaceDN/>
        <w:bidi w:val="0"/>
        <w:adjustRightInd/>
        <w:snapToGrid/>
        <w:spacing w:before="0" w:after="0" w:line="440" w:lineRule="atLeast"/>
        <w:textAlignment w:val="auto"/>
        <w:outlineLvl w:val="1"/>
        <w:rPr>
          <w:rFonts w:hint="eastAsia" w:ascii="宋体" w:hAnsi="宋体" w:eastAsia="宋体" w:cs="宋体"/>
          <w:color w:val="000000" w:themeColor="text1"/>
          <w:sz w:val="24"/>
          <w:szCs w:val="24"/>
          <w:lang w:val="en-US" w:eastAsia="zh-CN"/>
          <w14:textFill>
            <w14:solidFill>
              <w14:schemeClr w14:val="tx1"/>
            </w14:solidFill>
          </w14:textFill>
        </w:rPr>
      </w:pPr>
      <w:bookmarkStart w:id="177" w:name="_Toc30119"/>
      <w:bookmarkStart w:id="178" w:name="_Toc29942"/>
      <w:r>
        <w:rPr>
          <w:rFonts w:hint="eastAsia" w:ascii="宋体" w:hAnsi="宋体" w:eastAsia="宋体" w:cs="宋体"/>
          <w:b/>
          <w:color w:val="000000" w:themeColor="text1"/>
          <w:sz w:val="24"/>
          <w:szCs w:val="24"/>
          <w:lang w:val="en-US" w:eastAsia="zh-CN"/>
          <w14:textFill>
            <w14:solidFill>
              <w14:schemeClr w14:val="tx1"/>
            </w14:solidFill>
          </w14:textFill>
        </w:rPr>
        <w:t>四、其他要求</w:t>
      </w:r>
      <w:bookmarkEnd w:id="177"/>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1、项目组织管理要求</w:t>
      </w:r>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供应商应充分考虑满足采购项目的建设要求，提出完整的项目管理、系统设计、工程培训、项目施工、项目验收、技术支持方案以及供应商人力资源供给方案。</w:t>
      </w:r>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供应商应书面明确实施采购项目的人员配置管理计划，包括组织结构、项目负责人、组成人员及分工职责。</w:t>
      </w:r>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供应商如果确定为成交供应商必须提供采购项目的详细工作日程表和人员配备方案，明确工作地点、起止时间，项目负责人及主要人员。</w:t>
      </w:r>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按照采购文件中项目组织承诺，成交供应商必须保证其所有项目人员到位并保持稳定，包括项目主要管理者、技术负责人必须保证项目现场工作时间等。如因特殊情况发生任何人员变更，须将变更人及其工作影响、替换人资历等情况以书面材料报告采购人审查。因成交供应商原因的人员变更所造成的任何项目质量、进度不良后果，须由成交供应商承担一切责任。此外，根据项目质量和进度的需要，成交供应商应及时充实相应的项目管理人员和技术实施人员。成交供应商必须无条件接受采购人任何形式的监督检查，并承担因其人员不足、不到位所导致影响项目质量、进度的违约责任。</w:t>
      </w:r>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成交供应商在项目实施过程中出现资源、进度、质量协调控制不力的情况，采购人有权要求更换项目负责人，成交供应商必须予以配合，并确保不影响项目建设的进度和质量。</w:t>
      </w:r>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2、在实施过程中发现产品与谈判响应文件不一致者，视为提供虚假资料，采购人有权单方面解除合同，没收其履约保证金，对采购人造成的损失由成交供应商负责。</w:t>
      </w:r>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3、安全要求</w:t>
      </w:r>
    </w:p>
    <w:p>
      <w:pPr>
        <w:pageBreakBefore w:val="0"/>
        <w:widowControl w:val="0"/>
        <w:kinsoku/>
        <w:wordWrap/>
        <w:overflowPunct/>
        <w:topLinePunct w:val="0"/>
        <w:autoSpaceDE/>
        <w:autoSpaceDN/>
        <w:bidi w:val="0"/>
        <w:adjustRightInd/>
        <w:snapToGrid w:val="0"/>
        <w:spacing w:line="440" w:lineRule="atLeas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成交供应商应遵守安全生产的有关管理规定，建立完善的安全管控体系，严格按照安全标准组织实施，采取必要的安全防护措施，消除隐患。应派遣有丰富经验和相应能力的工程师进行现场组织施工，并对施工操作不当或错误所导致的直接损失和间接损失承担全部赔偿责任。  </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br w:type="page"/>
      </w:r>
    </w:p>
    <w:p>
      <w:pPr>
        <w:pStyle w:val="17"/>
        <w:tabs>
          <w:tab w:val="right" w:leader="dot" w:pos="9402"/>
        </w:tabs>
        <w:spacing w:line="480" w:lineRule="exact"/>
        <w:ind w:left="0" w:leftChars="0"/>
        <w:jc w:val="center"/>
        <w:outlineLvl w:val="0"/>
        <w:rPr>
          <w:rFonts w:hint="eastAsia" w:ascii="宋体" w:hAnsi="宋体" w:eastAsia="宋体" w:cs="宋体"/>
          <w:b/>
          <w:color w:val="000000" w:themeColor="text1"/>
          <w:sz w:val="36"/>
          <w:szCs w:val="30"/>
          <w14:textFill>
            <w14:solidFill>
              <w14:schemeClr w14:val="tx1"/>
            </w14:solidFill>
          </w14:textFill>
        </w:rPr>
      </w:pPr>
      <w:bookmarkStart w:id="179" w:name="_Toc11269"/>
      <w:r>
        <w:rPr>
          <w:rFonts w:hint="eastAsia" w:ascii="宋体" w:hAnsi="宋体" w:eastAsia="宋体" w:cs="宋体"/>
          <w:b/>
          <w:color w:val="000000" w:themeColor="text1"/>
          <w:sz w:val="36"/>
          <w:szCs w:val="30"/>
          <w14:textFill>
            <w14:solidFill>
              <w14:schemeClr w14:val="tx1"/>
            </w14:solidFill>
          </w14:textFill>
        </w:rPr>
        <w:t>第四篇  谈判项目</w:t>
      </w:r>
      <w:r>
        <w:rPr>
          <w:rFonts w:hint="eastAsia" w:ascii="宋体" w:hAnsi="宋体" w:eastAsia="宋体" w:cs="宋体"/>
          <w:b/>
          <w:color w:val="000000" w:themeColor="text1"/>
          <w:sz w:val="36"/>
          <w:szCs w:val="30"/>
          <w:lang w:eastAsia="zh-CN"/>
          <w14:textFill>
            <w14:solidFill>
              <w14:schemeClr w14:val="tx1"/>
            </w14:solidFill>
          </w14:textFill>
        </w:rPr>
        <w:t>商务</w:t>
      </w:r>
      <w:r>
        <w:rPr>
          <w:rFonts w:hint="eastAsia" w:ascii="宋体" w:hAnsi="宋体" w:eastAsia="宋体" w:cs="宋体"/>
          <w:b/>
          <w:color w:val="000000" w:themeColor="text1"/>
          <w:sz w:val="36"/>
          <w:szCs w:val="30"/>
          <w14:textFill>
            <w14:solidFill>
              <w14:schemeClr w14:val="tx1"/>
            </w14:solidFill>
          </w14:textFill>
        </w:rPr>
        <w:t>需求</w:t>
      </w:r>
      <w:bookmarkEnd w:id="173"/>
      <w:bookmarkEnd w:id="176"/>
      <w:bookmarkEnd w:id="178"/>
      <w:bookmarkEnd w:id="179"/>
    </w:p>
    <w:p>
      <w:pPr>
        <w:pStyle w:val="5"/>
        <w:pageBreakBefore w:val="0"/>
        <w:widowControl w:val="0"/>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color w:val="000000" w:themeColor="text1"/>
          <w:sz w:val="24"/>
          <w:szCs w:val="24"/>
          <w:lang w:val="en-US" w:eastAsia="zh-CN"/>
          <w14:textFill>
            <w14:solidFill>
              <w14:schemeClr w14:val="tx1"/>
            </w14:solidFill>
          </w14:textFill>
        </w:rPr>
      </w:pPr>
      <w:bookmarkStart w:id="180" w:name="_Toc4719"/>
      <w:bookmarkStart w:id="181" w:name="_Toc25553"/>
      <w:bookmarkStart w:id="182" w:name="_Toc31355"/>
      <w:bookmarkStart w:id="183" w:name="_Toc344475120"/>
      <w:bookmarkStart w:id="184" w:name="_Toc12789059"/>
      <w:bookmarkStart w:id="185" w:name="_Toc11641055"/>
      <w:r>
        <w:rPr>
          <w:rFonts w:hint="eastAsia" w:ascii="宋体" w:hAnsi="宋体" w:eastAsia="宋体" w:cs="宋体"/>
          <w:b/>
          <w:color w:val="000000" w:themeColor="text1"/>
          <w:sz w:val="24"/>
          <w:szCs w:val="24"/>
          <w:lang w:val="en-US" w:eastAsia="zh-CN"/>
          <w14:textFill>
            <w14:solidFill>
              <w14:schemeClr w14:val="tx1"/>
            </w14:solidFill>
          </w14:textFill>
        </w:rPr>
        <w:t>一、工期要求、实施地点、质量要求及验收方式</w:t>
      </w:r>
      <w:bookmarkEnd w:id="180"/>
      <w:bookmarkEnd w:id="181"/>
      <w:bookmarkEnd w:id="182"/>
      <w:bookmarkEnd w:id="183"/>
    </w:p>
    <w:p>
      <w:pPr>
        <w:pageBreakBefore w:val="0"/>
        <w:widowControl w:val="0"/>
        <w:kinsoku/>
        <w:wordWrap/>
        <w:overflowPunct/>
        <w:topLinePunct w:val="0"/>
        <w:autoSpaceDE/>
        <w:autoSpaceDN/>
        <w:bidi w:val="0"/>
        <w:adjustRightInd/>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bookmarkStart w:id="297" w:name="_GoBack"/>
      <w:bookmarkEnd w:id="297"/>
      <w:r>
        <w:rPr>
          <w:rFonts w:hint="eastAsia" w:ascii="宋体" w:hAnsi="宋体" w:eastAsia="宋体" w:cs="宋体"/>
          <w:color w:val="000000" w:themeColor="text1"/>
          <w:sz w:val="24"/>
          <w:szCs w:val="24"/>
          <w:lang w:eastAsia="zh-CN"/>
          <w14:textFill>
            <w14:solidFill>
              <w14:schemeClr w14:val="tx1"/>
            </w14:solidFill>
          </w14:textFill>
        </w:rPr>
        <w:t>（一）</w:t>
      </w:r>
      <w:r>
        <w:rPr>
          <w:rFonts w:hint="eastAsia" w:ascii="宋体" w:hAnsi="宋体" w:eastAsia="宋体" w:cs="宋体"/>
          <w:color w:val="000000" w:themeColor="text1"/>
          <w:sz w:val="24"/>
          <w:szCs w:val="24"/>
          <w:lang w:val="en-US" w:eastAsia="zh-CN"/>
          <w14:textFill>
            <w14:solidFill>
              <w14:schemeClr w14:val="tx1"/>
            </w14:solidFill>
          </w14:textFill>
        </w:rPr>
        <w:t>工</w:t>
      </w:r>
      <w:r>
        <w:rPr>
          <w:rFonts w:hint="eastAsia" w:ascii="宋体" w:hAnsi="宋体" w:eastAsia="宋体" w:cs="宋体"/>
          <w:color w:val="000000" w:themeColor="text1"/>
          <w:sz w:val="24"/>
          <w:szCs w:val="24"/>
          <w:lang w:eastAsia="zh-CN"/>
          <w14:textFill>
            <w14:solidFill>
              <w14:schemeClr w14:val="tx1"/>
            </w14:solidFill>
          </w14:textFill>
        </w:rPr>
        <w:t>期要求：</w:t>
      </w:r>
      <w:r>
        <w:rPr>
          <w:rFonts w:hint="eastAsia" w:ascii="宋体" w:hAnsi="宋体" w:eastAsia="宋体" w:cs="宋体"/>
          <w:color w:val="000000" w:themeColor="text1"/>
          <w:sz w:val="24"/>
          <w:szCs w:val="24"/>
          <w:lang w:val="en-US" w:eastAsia="zh-CN"/>
          <w14:textFill>
            <w14:solidFill>
              <w14:schemeClr w14:val="tx1"/>
            </w14:solidFill>
          </w14:textFill>
        </w:rPr>
        <w:t>合同签订后</w:t>
      </w:r>
      <w:r>
        <w:rPr>
          <w:rFonts w:hint="eastAsia" w:ascii="宋体" w:hAnsi="宋体" w:cs="宋体"/>
          <w:color w:val="000000" w:themeColor="text1"/>
          <w:sz w:val="24"/>
          <w:szCs w:val="24"/>
          <w:lang w:val="en-US" w:eastAsia="zh-CN"/>
          <w14:textFill>
            <w14:solidFill>
              <w14:schemeClr w14:val="tx1"/>
            </w14:solidFill>
          </w14:textFill>
        </w:rPr>
        <w:t>，院方要求入场起5个</w:t>
      </w:r>
      <w:r>
        <w:rPr>
          <w:rFonts w:hint="eastAsia" w:ascii="宋体" w:hAnsi="宋体" w:eastAsia="宋体" w:cs="宋体"/>
          <w:color w:val="000000" w:themeColor="text1"/>
          <w:sz w:val="24"/>
          <w:szCs w:val="24"/>
          <w:lang w:val="en-US" w:eastAsia="zh-CN"/>
          <w14:textFill>
            <w14:solidFill>
              <w14:schemeClr w14:val="tx1"/>
            </w14:solidFill>
          </w14:textFill>
        </w:rPr>
        <w:t>日历日</w:t>
      </w:r>
      <w:r>
        <w:rPr>
          <w:rFonts w:hint="eastAsia" w:ascii="宋体" w:hAnsi="宋体" w:cs="宋体"/>
          <w:color w:val="000000" w:themeColor="text1"/>
          <w:sz w:val="24"/>
          <w:szCs w:val="24"/>
          <w:lang w:val="en-US" w:eastAsia="zh-CN"/>
          <w14:textFill>
            <w14:solidFill>
              <w14:schemeClr w14:val="tx1"/>
            </w14:solidFill>
          </w14:textFill>
        </w:rPr>
        <w:t>内交货并</w:t>
      </w:r>
      <w:r>
        <w:rPr>
          <w:rFonts w:hint="eastAsia" w:ascii="宋体" w:hAnsi="宋体" w:eastAsia="宋体" w:cs="宋体"/>
          <w:color w:val="000000" w:themeColor="text1"/>
          <w:sz w:val="24"/>
          <w:szCs w:val="24"/>
          <w:lang w:val="en-US" w:eastAsia="zh-CN"/>
          <w14:textFill>
            <w14:solidFill>
              <w14:schemeClr w14:val="tx1"/>
            </w14:solidFill>
          </w14:textFill>
        </w:rPr>
        <w:t>完成安装调试</w:t>
      </w:r>
      <w:r>
        <w:rPr>
          <w:rFonts w:hint="eastAsia" w:ascii="宋体" w:hAnsi="宋体" w:cs="宋体"/>
          <w:color w:val="000000" w:themeColor="text1"/>
          <w:sz w:val="24"/>
          <w:szCs w:val="24"/>
          <w:lang w:val="en-US" w:eastAsia="zh-CN"/>
          <w14:textFill>
            <w14:solidFill>
              <w14:schemeClr w14:val="tx1"/>
            </w14:solidFill>
          </w14:textFill>
        </w:rPr>
        <w:t>及</w:t>
      </w:r>
      <w:r>
        <w:rPr>
          <w:rFonts w:hint="eastAsia" w:ascii="宋体" w:hAnsi="宋体" w:eastAsia="宋体" w:cs="宋体"/>
          <w:color w:val="000000" w:themeColor="text1"/>
          <w:sz w:val="24"/>
          <w:szCs w:val="24"/>
          <w:lang w:val="en-US" w:eastAsia="zh-CN"/>
          <w14:textFill>
            <w14:solidFill>
              <w14:schemeClr w14:val="tx1"/>
            </w14:solidFill>
          </w14:textFill>
        </w:rPr>
        <w:t>上线。</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（二）实施地点：重庆市荣昌区人民医院内。</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bookmarkStart w:id="186" w:name="_Toc21703"/>
      <w:r>
        <w:rPr>
          <w:rFonts w:hint="eastAsia" w:ascii="宋体" w:hAnsi="宋体" w:eastAsia="宋体" w:cs="宋体"/>
          <w:color w:val="000000" w:themeColor="text1"/>
          <w:sz w:val="24"/>
          <w:szCs w:val="24"/>
          <w:lang w:val="en-US" w:eastAsia="zh-CN"/>
          <w14:textFill>
            <w14:solidFill>
              <w14:schemeClr w14:val="tx1"/>
            </w14:solidFill>
          </w14:textFill>
        </w:rPr>
        <w:t>（三）验收方式</w:t>
      </w:r>
      <w:bookmarkStart w:id="187" w:name="_Toc44682697"/>
      <w:r>
        <w:rPr>
          <w:rFonts w:hint="eastAsia" w:ascii="宋体" w:hAnsi="宋体" w:eastAsia="宋体" w:cs="宋体"/>
          <w:color w:val="000000" w:themeColor="text1"/>
          <w:sz w:val="24"/>
          <w:szCs w:val="24"/>
          <w:lang w:val="en-US" w:eastAsia="zh-CN"/>
          <w14:textFill>
            <w14:solidFill>
              <w14:schemeClr w14:val="tx1"/>
            </w14:solidFill>
          </w14:textFill>
        </w:rPr>
        <w:t>：</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1、货物到达现场后，成交供应商应经采购人或其指定验收单位清点品名、规格、数量；检查外观，作出验收记录，双方签字确认。</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2、成交供应商应保证货物到达用户所在地完好无损，如有缺漏、损坏，由成交供应商负责调换、补齐或赔偿。</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3、成交供应商应提供完备的技术资料、装箱单和合格证等，并派遣专业技术人员进行现场安装调试。验收合格条件如下：</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3.1设备品种、规格、数量、技术参数以及商品品牌、生产厂家等与采购合同一致，性能指标达到规定的标准。</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3.2货物技术资料、装箱单、合格证等资料齐全。</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3.3在规定时间内完成交货并验收，并经采购人确认。</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4、成交供应商提供的货物未达到谈判规定要求，且对采购人造成损失的，由成交供应商承担一切责任，并赔偿所造成的损失。</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5、大型或者复杂的政府采购产品项目，采购人可邀请国家认可的质量检测机构参加验收工作。</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6、采购人需要厂家对成交供应商交付的产品（包括质量、技术参数等）进行确认的，厂家应予以配合，并出具书面意见。</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验收标准：按国家有关规定以及采购人谈判采购文件的质量要求和技术指标、成交供应商的响应文件及承诺与本合同约定标准进行验收。双方如对质量要求和技术指标的约定标准有相互抵触或异议的事项，由采购人谈判采购与响应文件中按质量要求和技术指标比较优胜的原则确定该项验收标准。</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7.1验收时如发现所交付的货物有不符合尺寸要求、质量要求、损坏或其它不符合标准及本合同规定之情形者，验收为不合格。采购人做出详尽的现场记录，或由双方签署备忘录，此现场记录或备忘录可用作整改和更换不合格产品的有效证据。成交供应商承担由此产生的时间延误及相关费用，且应承担相应的违约责任。</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7.2如所交付的货物尺寸要求、质量要求符合国家有关规定以及采购人谈判采购文件的质量要求和技术指标、成交供应商的响应文件及承诺，刚为验收合格，双方签署验收合格报告。</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8、产品包装材料归采购人所有。</w:t>
      </w:r>
    </w:p>
    <w:p>
      <w:pPr>
        <w:pStyle w:val="5"/>
        <w:pageBreakBefore w:val="0"/>
        <w:widowControl w:val="0"/>
        <w:numPr>
          <w:ilvl w:val="0"/>
          <w:numId w:val="6"/>
        </w:numPr>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color w:val="000000" w:themeColor="text1"/>
          <w:sz w:val="24"/>
          <w:szCs w:val="24"/>
          <w:lang w:val="en-US" w:eastAsia="zh-CN"/>
          <w14:textFill>
            <w14:solidFill>
              <w14:schemeClr w14:val="tx1"/>
            </w14:solidFill>
          </w14:textFill>
        </w:rPr>
      </w:pPr>
      <w:bookmarkStart w:id="188" w:name="_Toc13138"/>
      <w:r>
        <w:rPr>
          <w:rFonts w:hint="eastAsia" w:ascii="宋体" w:hAnsi="宋体" w:eastAsia="宋体" w:cs="宋体"/>
          <w:b/>
          <w:color w:val="000000" w:themeColor="text1"/>
          <w:sz w:val="24"/>
          <w:szCs w:val="24"/>
          <w:lang w:val="en-US" w:eastAsia="zh-CN"/>
          <w14:textFill>
            <w14:solidFill>
              <w14:schemeClr w14:val="tx1"/>
            </w14:solidFill>
          </w14:textFill>
        </w:rPr>
        <w:t>质量要求及售后服务</w:t>
      </w:r>
      <w:bookmarkEnd w:id="187"/>
      <w:bookmarkEnd w:id="188"/>
    </w:p>
    <w:p>
      <w:pPr>
        <w:pageBreakBefore w:val="0"/>
        <w:widowControl w:val="0"/>
        <w:kinsoku/>
        <w:wordWrap/>
        <w:overflowPunct/>
        <w:topLinePunct w:val="0"/>
        <w:autoSpaceDE/>
        <w:autoSpaceDN/>
        <w:bidi w:val="0"/>
        <w:adjustRightIn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一）质量标准：成交供应商必须提供由原公司（厂）生产的全新产品，符合国家对同类产品规定的质量、环保标准，技术参数和配置要求与招标文件相符，相关资料（使用说明书、合格证、保修单、装箱清单等）齐全，不得出售假冒伪劣产品。</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（二）产品质量保证期</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1、自验收之日起，提</w:t>
      </w:r>
      <w:r>
        <w:rPr>
          <w:rFonts w:hint="eastAsia" w:ascii="宋体" w:hAnsi="宋体" w:eastAsia="宋体" w:cs="宋体"/>
          <w:color w:val="000000" w:themeColor="text1"/>
          <w:sz w:val="24"/>
          <w:szCs w:val="24"/>
          <w:highlight w:val="none"/>
          <w:lang w:eastAsia="zh-CN"/>
          <w14:textFill>
            <w14:solidFill>
              <w14:schemeClr w14:val="tx1"/>
            </w14:solidFill>
          </w14:textFill>
        </w:rPr>
        <w:t>供</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年</w:t>
      </w:r>
      <w:r>
        <w:rPr>
          <w:rFonts w:hint="eastAsia" w:ascii="宋体" w:hAnsi="宋体" w:eastAsia="宋体" w:cs="宋体"/>
          <w:color w:val="000000" w:themeColor="text1"/>
          <w:sz w:val="24"/>
          <w:szCs w:val="24"/>
          <w:lang w:eastAsia="zh-CN"/>
          <w14:textFill>
            <w14:solidFill>
              <w14:schemeClr w14:val="tx1"/>
            </w14:solidFill>
          </w14:textFill>
        </w:rPr>
        <w:t>的免费质保期（若供应商有更优惠的质保期，请在响应文件中明确应答）。</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2、采购货物属于国家规定“三包”范围的，其产品质量保证期不得低于“三包”规定。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3、采购货物由产品生产厂家（指产品生产厂家或其负责销售、售后服务机构，以下同）负责标准售后服务，应当在响应文件中予以明确说明，并提供相关文件。</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（三）售后服务内容</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成交供应商和厂家在质量保证期内应当为采购人提供以下技术支持服务：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1、质量保证期内服务要求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1.1电话咨询</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成交供应商和厂家应当为用户提供7×24小时技术援助电话，解答用户在使用中遇到的问题，及时为用户提出解决问题的建议。</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1.2现场响应</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用户遇到使用及技术问题，电话咨询不能解决的，成交供应商或厂家应在</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eastAsia="zh-CN"/>
          <w14:textFill>
            <w14:solidFill>
              <w14:schemeClr w14:val="tx1"/>
            </w14:solidFill>
          </w14:textFill>
        </w:rPr>
        <w:t>小时内采取相应响应措施；无法在</w:t>
      </w:r>
      <w:r>
        <w:rPr>
          <w:rFonts w:hint="eastAsia" w:ascii="宋体" w:hAnsi="宋体" w:eastAsia="宋体" w:cs="宋体"/>
          <w:color w:val="000000" w:themeColor="text1"/>
          <w:sz w:val="24"/>
          <w:szCs w:val="24"/>
          <w:lang w:val="en-US" w:eastAsia="zh-CN"/>
          <w14:textFill>
            <w14:solidFill>
              <w14:schemeClr w14:val="tx1"/>
            </w14:solidFill>
          </w14:textFill>
        </w:rPr>
        <w:t>4</w:t>
      </w:r>
      <w:r>
        <w:rPr>
          <w:rFonts w:hint="eastAsia" w:ascii="宋体" w:hAnsi="宋体" w:eastAsia="宋体" w:cs="宋体"/>
          <w:color w:val="000000" w:themeColor="text1"/>
          <w:sz w:val="24"/>
          <w:szCs w:val="24"/>
          <w:lang w:eastAsia="zh-CN"/>
          <w14:textFill>
            <w14:solidFill>
              <w14:schemeClr w14:val="tx1"/>
            </w14:solidFill>
          </w14:textFill>
        </w:rPr>
        <w:t>小时内解决的，应在</w:t>
      </w: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eastAsia="zh-CN"/>
          <w14:textFill>
            <w14:solidFill>
              <w14:schemeClr w14:val="tx1"/>
            </w14:solidFill>
          </w14:textFill>
        </w:rPr>
        <w:t>小时内派出专业人员进行技术支持。</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1.3技术升级</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在质保期内，如果成交供应商和厂家的产品技术升级，成交供应商应及时通知采购人，如采购人有相应要求，成交供应商和厂家应对采购人进行升级服务。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2、质保期外服务要求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2.1质量保证期过后，成交供应商和厂家应同样提供免费电话咨询服务，并应承诺提供产品上门维护服务。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2.2质量保证期过后，采购人需要继续由原成交供应商和厂家提供售后服务的，成交供应商和厂家应以优惠价格提供售后服务。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（四）故障响应时间要求</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成交供应商接到使用方产品出现问题的通知后立即作出响应，</w:t>
      </w:r>
      <w:r>
        <w:rPr>
          <w:rFonts w:hint="eastAsia" w:ascii="宋体" w:hAnsi="宋体" w:eastAsia="宋体" w:cs="宋体"/>
          <w:color w:val="000000" w:themeColor="text1"/>
          <w:sz w:val="24"/>
          <w:szCs w:val="24"/>
          <w:lang w:val="en-US" w:eastAsia="zh-CN"/>
          <w14:textFill>
            <w14:solidFill>
              <w14:schemeClr w14:val="tx1"/>
            </w14:solidFill>
          </w14:textFill>
        </w:rPr>
        <w:t>8</w:t>
      </w:r>
      <w:r>
        <w:rPr>
          <w:rFonts w:hint="eastAsia" w:ascii="宋体" w:hAnsi="宋体" w:eastAsia="宋体" w:cs="宋体"/>
          <w:color w:val="000000" w:themeColor="text1"/>
          <w:sz w:val="24"/>
          <w:szCs w:val="24"/>
          <w:lang w:eastAsia="zh-CN"/>
          <w14:textFill>
            <w14:solidFill>
              <w14:schemeClr w14:val="tx1"/>
            </w14:solidFill>
          </w14:textFill>
        </w:rPr>
        <w:t>小时内到达现场进行处理。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（五）维修配件</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成交供应商或厂家应提供备品备件，保证用户应急所需。使用的维修零配件应为原厂配件，未经用户同意不得使用非原厂配件。</w:t>
      </w:r>
    </w:p>
    <w:bookmarkEnd w:id="184"/>
    <w:bookmarkEnd w:id="185"/>
    <w:bookmarkEnd w:id="186"/>
    <w:p>
      <w:pPr>
        <w:pStyle w:val="5"/>
        <w:pageBreakBefore w:val="0"/>
        <w:widowControl w:val="0"/>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color w:val="000000" w:themeColor="text1"/>
          <w:sz w:val="24"/>
          <w:szCs w:val="24"/>
          <w:lang w:val="en-US" w:eastAsia="zh-CN"/>
          <w14:textFill>
            <w14:solidFill>
              <w14:schemeClr w14:val="tx1"/>
            </w14:solidFill>
          </w14:textFill>
        </w:rPr>
      </w:pPr>
      <w:bookmarkStart w:id="189" w:name="_Toc16947"/>
      <w:bookmarkStart w:id="190" w:name="_Toc44682704"/>
      <w:bookmarkStart w:id="191" w:name="_Toc342913419"/>
      <w:bookmarkStart w:id="192" w:name="_Toc283382454"/>
      <w:bookmarkStart w:id="193" w:name="_Toc313008356"/>
      <w:bookmarkStart w:id="194" w:name="_Toc313888360"/>
      <w:bookmarkStart w:id="195" w:name="_Toc12789073"/>
      <w:bookmarkStart w:id="196" w:name="_Toc457487724"/>
      <w:bookmarkStart w:id="197" w:name="_Toc429584885"/>
      <w:r>
        <w:rPr>
          <w:rFonts w:hint="eastAsia" w:ascii="宋体" w:hAnsi="宋体" w:eastAsia="宋体" w:cs="宋体"/>
          <w:b/>
          <w:color w:val="000000" w:themeColor="text1"/>
          <w:sz w:val="24"/>
          <w:szCs w:val="24"/>
          <w:lang w:val="en-US" w:eastAsia="zh-CN"/>
          <w14:textFill>
            <w14:solidFill>
              <w14:schemeClr w14:val="tx1"/>
            </w14:solidFill>
          </w14:textFill>
        </w:rPr>
        <w:t>三、谈判报价的修正</w:t>
      </w:r>
      <w:bookmarkEnd w:id="189"/>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谈判响应报价有算术错误的，谈判小组按以下原则对谈判响应报价进行修正，修正的价格经供应商书面确认后具有约束力。供应商不接受修正价格的，其响应作无效响应处理。</w:t>
      </w:r>
    </w:p>
    <w:p>
      <w:pPr>
        <w:pageBreakBefore w:val="0"/>
        <w:widowControl w:val="0"/>
        <w:kinsoku/>
        <w:wordWrap/>
        <w:overflowPunct/>
        <w:topLinePunct w:val="0"/>
        <w:autoSpaceDE/>
        <w:autoSpaceDN/>
        <w:bidi w:val="0"/>
        <w:adjustRightInd/>
        <w:snapToGrid w:val="0"/>
        <w:spacing w:line="460" w:lineRule="exact"/>
        <w:ind w:firstLine="240" w:firstLineChars="1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（一）当以阿拉伯数字表示的金额与中文表示的金额有差异时，以中文表示的金额为准；</w:t>
      </w:r>
    </w:p>
    <w:p>
      <w:pPr>
        <w:pageBreakBefore w:val="0"/>
        <w:widowControl w:val="0"/>
        <w:kinsoku/>
        <w:wordWrap/>
        <w:overflowPunct/>
        <w:topLinePunct w:val="0"/>
        <w:autoSpaceDE/>
        <w:autoSpaceDN/>
        <w:bidi w:val="0"/>
        <w:adjustRightInd/>
        <w:snapToGrid w:val="0"/>
        <w:spacing w:line="460" w:lineRule="exact"/>
        <w:ind w:firstLine="240" w:firstLineChars="1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（二）响应文件的大写金额和小写金额不一致的，以大写金额为准；</w:t>
      </w:r>
    </w:p>
    <w:p>
      <w:pPr>
        <w:pageBreakBefore w:val="0"/>
        <w:widowControl w:val="0"/>
        <w:kinsoku/>
        <w:wordWrap/>
        <w:overflowPunct/>
        <w:topLinePunct w:val="0"/>
        <w:autoSpaceDE/>
        <w:autoSpaceDN/>
        <w:bidi w:val="0"/>
        <w:adjustRightInd/>
        <w:snapToGrid w:val="0"/>
        <w:spacing w:line="460" w:lineRule="exact"/>
        <w:ind w:firstLine="240" w:firstLineChars="1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（三）当单价与数量相乘不等于合价时，以单价计算为准；</w:t>
      </w:r>
    </w:p>
    <w:p>
      <w:pPr>
        <w:pageBreakBefore w:val="0"/>
        <w:widowControl w:val="0"/>
        <w:kinsoku/>
        <w:wordWrap/>
        <w:overflowPunct/>
        <w:topLinePunct w:val="0"/>
        <w:autoSpaceDE/>
        <w:autoSpaceDN/>
        <w:bidi w:val="0"/>
        <w:adjustRightInd/>
        <w:snapToGrid w:val="0"/>
        <w:spacing w:line="460" w:lineRule="exact"/>
        <w:ind w:firstLine="240" w:firstLineChars="1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（四）如果单价有明显的小数点位置差错，应以标出的合价为准，同时对单价进行修正。</w:t>
      </w:r>
      <w:bookmarkStart w:id="198" w:name="_Toc44682699"/>
    </w:p>
    <w:bookmarkEnd w:id="198"/>
    <w:p>
      <w:pPr>
        <w:pStyle w:val="5"/>
        <w:pageBreakBefore w:val="0"/>
        <w:widowControl w:val="0"/>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color w:val="000000" w:themeColor="text1"/>
          <w:sz w:val="24"/>
          <w:szCs w:val="24"/>
          <w:lang w:val="en-US" w:eastAsia="zh-CN"/>
          <w14:textFill>
            <w14:solidFill>
              <w14:schemeClr w14:val="tx1"/>
            </w14:solidFill>
          </w14:textFill>
        </w:rPr>
      </w:pPr>
      <w:bookmarkStart w:id="199" w:name="_Toc14120"/>
      <w:bookmarkStart w:id="200" w:name="_Toc44682700"/>
      <w:r>
        <w:rPr>
          <w:rFonts w:hint="eastAsia" w:ascii="宋体" w:hAnsi="宋体" w:eastAsia="宋体" w:cs="宋体"/>
          <w:b/>
          <w:color w:val="000000" w:themeColor="text1"/>
          <w:sz w:val="24"/>
          <w:szCs w:val="24"/>
          <w:lang w:val="en-US" w:eastAsia="zh-CN"/>
          <w14:textFill>
            <w14:solidFill>
              <w14:schemeClr w14:val="tx1"/>
            </w14:solidFill>
          </w14:textFill>
        </w:rPr>
        <w:t>四、履约担保</w:t>
      </w:r>
      <w:bookmarkEnd w:id="199"/>
      <w:bookmarkEnd w:id="200"/>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在签订合同前，成交供应商应向采购人缴纳合同金额的</w:t>
      </w:r>
      <w:r>
        <w:rPr>
          <w:rFonts w:hint="eastAsia" w:ascii="宋体" w:hAnsi="宋体" w:cs="宋体"/>
          <w:color w:val="000000" w:themeColor="text1"/>
          <w:sz w:val="24"/>
          <w:szCs w:val="24"/>
          <w:lang w:val="en-US" w:eastAsia="zh-CN"/>
          <w14:textFill>
            <w14:solidFill>
              <w14:schemeClr w14:val="tx1"/>
            </w14:solidFill>
          </w14:textFill>
        </w:rPr>
        <w:t>5</w:t>
      </w:r>
      <w:r>
        <w:rPr>
          <w:rFonts w:hint="eastAsia" w:ascii="宋体" w:hAnsi="宋体" w:eastAsia="宋体" w:cs="宋体"/>
          <w:color w:val="000000" w:themeColor="text1"/>
          <w:sz w:val="24"/>
          <w:szCs w:val="24"/>
          <w:lang w:val="en-US" w:eastAsia="zh-CN"/>
          <w14:textFill>
            <w14:solidFill>
              <w14:schemeClr w14:val="tx1"/>
            </w14:solidFill>
          </w14:textFill>
        </w:rPr>
        <w:t>%作为履约保证金，履约保证金在所有货物安装调试完毕并验收合格后，采购人在15日内无息退还。</w:t>
      </w:r>
    </w:p>
    <w:p>
      <w:pPr>
        <w:pStyle w:val="5"/>
        <w:pageBreakBefore w:val="0"/>
        <w:widowControl w:val="0"/>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color w:val="000000" w:themeColor="text1"/>
          <w:sz w:val="24"/>
          <w:szCs w:val="24"/>
          <w:lang w:val="en-US" w:eastAsia="zh-CN"/>
          <w14:textFill>
            <w14:solidFill>
              <w14:schemeClr w14:val="tx1"/>
            </w14:solidFill>
          </w14:textFill>
        </w:rPr>
      </w:pPr>
      <w:bookmarkStart w:id="201" w:name="_Toc20717"/>
      <w:bookmarkStart w:id="202" w:name="_Toc44682701"/>
      <w:r>
        <w:rPr>
          <w:rFonts w:hint="eastAsia" w:ascii="宋体" w:hAnsi="宋体" w:eastAsia="宋体" w:cs="宋体"/>
          <w:b/>
          <w:color w:val="000000" w:themeColor="text1"/>
          <w:sz w:val="24"/>
          <w:szCs w:val="24"/>
          <w:lang w:val="en-US" w:eastAsia="zh-CN"/>
          <w14:textFill>
            <w14:solidFill>
              <w14:schemeClr w14:val="tx1"/>
            </w14:solidFill>
          </w14:textFill>
        </w:rPr>
        <w:t>五、付款方式</w:t>
      </w:r>
      <w:bookmarkEnd w:id="201"/>
      <w:bookmarkEnd w:id="202"/>
    </w:p>
    <w:p>
      <w:pPr>
        <w:pageBreakBefore w:val="0"/>
        <w:widowControl w:val="0"/>
        <w:kinsoku/>
        <w:wordWrap/>
        <w:overflowPunct/>
        <w:topLinePunct w:val="0"/>
        <w:autoSpaceDE/>
        <w:autoSpaceDN/>
        <w:bidi w:val="0"/>
        <w:adjustRightInd/>
        <w:snapToGrid w:val="0"/>
        <w:spacing w:line="460" w:lineRule="exact"/>
        <w:ind w:firstLine="240" w:firstLineChars="1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（一）付款方式：转账支付</w:t>
      </w:r>
    </w:p>
    <w:p>
      <w:pPr>
        <w:pageBreakBefore w:val="0"/>
        <w:widowControl w:val="0"/>
        <w:kinsoku/>
        <w:wordWrap/>
        <w:overflowPunct/>
        <w:topLinePunct w:val="0"/>
        <w:autoSpaceDE/>
        <w:autoSpaceDN/>
        <w:bidi w:val="0"/>
        <w:adjustRightInd/>
        <w:snapToGrid w:val="0"/>
        <w:spacing w:line="460" w:lineRule="exact"/>
        <w:ind w:firstLine="240" w:firstLineChars="100"/>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支付方式：货到进场并经采购人确认后采购人15日内支付总合同价的30％；工程完工后采购人15日内支付至总合同价的80％；经采购人综合验收并合格后采购人15日内支付至总合同价的95％；剩余的5％作为质保金待质保期满后采购人30日内无息支付。</w:t>
      </w:r>
    </w:p>
    <w:p>
      <w:pPr>
        <w:pageBreakBefore w:val="0"/>
        <w:widowControl w:val="0"/>
        <w:kinsoku/>
        <w:wordWrap/>
        <w:overflowPunct/>
        <w:topLinePunct w:val="0"/>
        <w:autoSpaceDE/>
        <w:autoSpaceDN/>
        <w:bidi w:val="0"/>
        <w:adjustRightInd/>
        <w:snapToGrid w:val="0"/>
        <w:spacing w:line="460" w:lineRule="exact"/>
        <w:ind w:firstLine="240" w:firstLineChars="100"/>
        <w:textAlignment w:val="auto"/>
        <w:rPr>
          <w:rFonts w:hint="eastAsia" w:ascii="宋体" w:hAnsi="宋体" w:eastAsia="宋体" w:cs="宋体"/>
          <w:color w:val="000000" w:themeColor="text1"/>
          <w:sz w:val="24"/>
          <w:szCs w:val="24"/>
          <w:lang w:val="en-US" w:eastAsia="zh-CN"/>
          <w14:textFill>
            <w14:solidFill>
              <w14:schemeClr w14:val="tx1"/>
            </w14:solidFill>
          </w14:textFill>
        </w:rPr>
      </w:pPr>
    </w:p>
    <w:p>
      <w:pPr>
        <w:pStyle w:val="5"/>
        <w:pageBreakBefore w:val="0"/>
        <w:widowControl w:val="0"/>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color w:val="000000" w:themeColor="text1"/>
          <w:sz w:val="24"/>
          <w:szCs w:val="24"/>
          <w:lang w:val="en-US" w:eastAsia="zh-CN"/>
          <w14:textFill>
            <w14:solidFill>
              <w14:schemeClr w14:val="tx1"/>
            </w14:solidFill>
          </w14:textFill>
        </w:rPr>
      </w:pPr>
      <w:bookmarkStart w:id="203" w:name="_Toc44682702"/>
      <w:bookmarkStart w:id="204" w:name="_Toc16732"/>
      <w:r>
        <w:rPr>
          <w:rFonts w:hint="eastAsia" w:ascii="宋体" w:hAnsi="宋体" w:eastAsia="宋体" w:cs="宋体"/>
          <w:b/>
          <w:color w:val="000000" w:themeColor="text1"/>
          <w:sz w:val="24"/>
          <w:szCs w:val="24"/>
          <w:lang w:val="en-US" w:eastAsia="zh-CN"/>
          <w14:textFill>
            <w14:solidFill>
              <w14:schemeClr w14:val="tx1"/>
            </w14:solidFill>
          </w14:textFill>
        </w:rPr>
        <w:t>六、低价风险担保</w:t>
      </w:r>
      <w:bookmarkEnd w:id="203"/>
      <w:r>
        <w:rPr>
          <w:rFonts w:hint="eastAsia" w:ascii="宋体" w:hAnsi="宋体" w:eastAsia="宋体" w:cs="宋体"/>
          <w:b/>
          <w:color w:val="000000" w:themeColor="text1"/>
          <w:sz w:val="24"/>
          <w:szCs w:val="24"/>
          <w:lang w:val="en-US" w:eastAsia="zh-CN"/>
          <w14:textFill>
            <w14:solidFill>
              <w14:schemeClr w14:val="tx1"/>
            </w14:solidFill>
          </w14:textFill>
        </w:rPr>
        <w:t>（若有）</w:t>
      </w:r>
      <w:bookmarkEnd w:id="204"/>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成交供应商的成交价格低于采购项目最高限价85%的，在签订合同前15日内，成交供应商应向采购人缴纳低价风险保证金，保证金额为采购项目最高限价与成交价之差（低价风险保证金从成交供应商的基本账户转出）。所有货物安装调试完毕并验收合格后采购人在15日内无息退还。</w:t>
      </w:r>
    </w:p>
    <w:p>
      <w:pPr>
        <w:pStyle w:val="5"/>
        <w:pageBreakBefore w:val="0"/>
        <w:widowControl w:val="0"/>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color w:val="000000" w:themeColor="text1"/>
          <w:sz w:val="24"/>
          <w:szCs w:val="24"/>
          <w:lang w:val="en-US" w:eastAsia="zh-CN"/>
          <w14:textFill>
            <w14:solidFill>
              <w14:schemeClr w14:val="tx1"/>
            </w14:solidFill>
          </w14:textFill>
        </w:rPr>
      </w:pPr>
      <w:bookmarkStart w:id="205" w:name="_Toc32712"/>
      <w:bookmarkStart w:id="206" w:name="_Toc44682703"/>
      <w:r>
        <w:rPr>
          <w:rFonts w:hint="eastAsia" w:ascii="宋体" w:hAnsi="宋体" w:eastAsia="宋体" w:cs="宋体"/>
          <w:b/>
          <w:color w:val="000000" w:themeColor="text1"/>
          <w:sz w:val="24"/>
          <w:szCs w:val="24"/>
          <w:lang w:val="en-US" w:eastAsia="zh-CN"/>
          <w14:textFill>
            <w14:solidFill>
              <w14:schemeClr w14:val="tx1"/>
            </w14:solidFill>
          </w14:textFill>
        </w:rPr>
        <w:t>七、知识产权</w:t>
      </w:r>
      <w:bookmarkEnd w:id="205"/>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pStyle w:val="5"/>
        <w:pageBreakBefore w:val="0"/>
        <w:widowControl w:val="0"/>
        <w:kinsoku/>
        <w:wordWrap/>
        <w:overflowPunct/>
        <w:topLinePunct w:val="0"/>
        <w:autoSpaceDE/>
        <w:autoSpaceDN/>
        <w:bidi w:val="0"/>
        <w:adjustRightInd/>
        <w:spacing w:before="0" w:after="0" w:line="460" w:lineRule="exact"/>
        <w:textAlignment w:val="auto"/>
        <w:outlineLvl w:val="1"/>
        <w:rPr>
          <w:rFonts w:hint="eastAsia" w:ascii="宋体" w:hAnsi="宋体" w:eastAsia="宋体" w:cs="宋体"/>
          <w:b/>
          <w:color w:val="000000" w:themeColor="text1"/>
          <w:sz w:val="24"/>
          <w:szCs w:val="24"/>
          <w:lang w:val="en-US" w:eastAsia="zh-CN"/>
          <w14:textFill>
            <w14:solidFill>
              <w14:schemeClr w14:val="tx1"/>
            </w14:solidFill>
          </w14:textFill>
        </w:rPr>
      </w:pPr>
      <w:bookmarkStart w:id="207" w:name="_Toc31374"/>
      <w:r>
        <w:rPr>
          <w:rFonts w:hint="eastAsia" w:ascii="宋体" w:hAnsi="宋体" w:eastAsia="宋体" w:cs="宋体"/>
          <w:b/>
          <w:color w:val="000000" w:themeColor="text1"/>
          <w:sz w:val="24"/>
          <w:szCs w:val="24"/>
          <w:lang w:val="en-US" w:eastAsia="zh-CN"/>
          <w14:textFill>
            <w14:solidFill>
              <w14:schemeClr w14:val="tx1"/>
            </w14:solidFill>
          </w14:textFill>
        </w:rPr>
        <w:t>八、</w:t>
      </w:r>
      <w:bookmarkEnd w:id="206"/>
      <w:r>
        <w:rPr>
          <w:rFonts w:hint="eastAsia" w:ascii="宋体" w:hAnsi="宋体" w:eastAsia="宋体" w:cs="宋体"/>
          <w:b/>
          <w:color w:val="000000" w:themeColor="text1"/>
          <w:sz w:val="24"/>
          <w:szCs w:val="24"/>
          <w:lang w:val="en-US" w:eastAsia="zh-CN"/>
          <w14:textFill>
            <w14:solidFill>
              <w14:schemeClr w14:val="tx1"/>
            </w14:solidFill>
          </w14:textFill>
        </w:rPr>
        <w:t>其他要求</w:t>
      </w:r>
      <w:bookmarkEnd w:id="207"/>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（一）相关说明：设计施工图中未明确的地方，依据工程量清单及竞争性谈判进行工程量清单和工程预算书编制。</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（二）项目实施期的安全问题由成交供应商全权负责。</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（三）供应商必须在响应文件中对以上条款和服务承诺明确列出，承诺内容必须达到本篇及竞争性谈判其他条款的要求。</w:t>
      </w:r>
    </w:p>
    <w:p>
      <w:pPr>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b/>
          <w:color w:val="000000" w:themeColor="text1"/>
          <w:sz w:val="36"/>
          <w:szCs w:val="30"/>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（四）其他未尽事宜由供需双方在采购合同中详细约定。</w:t>
      </w:r>
    </w:p>
    <w:p>
      <w:pPr>
        <w:pageBreakBefore w:val="0"/>
        <w:widowControl w:val="0"/>
        <w:kinsoku/>
        <w:wordWrap/>
        <w:overflowPunct/>
        <w:topLinePunct w:val="0"/>
        <w:autoSpaceDE/>
        <w:autoSpaceDN/>
        <w:bidi w:val="0"/>
        <w:adjustRightInd/>
        <w:spacing w:line="460" w:lineRule="exact"/>
        <w:textAlignment w:val="auto"/>
        <w:rPr>
          <w:rFonts w:hint="eastAsia" w:ascii="宋体" w:hAnsi="宋体" w:eastAsia="宋体" w:cs="宋体"/>
          <w:b/>
          <w:color w:val="000000" w:themeColor="text1"/>
          <w:sz w:val="36"/>
          <w:szCs w:val="30"/>
          <w14:textFill>
            <w14:solidFill>
              <w14:schemeClr w14:val="tx1"/>
            </w14:solidFill>
          </w14:textFill>
        </w:rPr>
      </w:pPr>
      <w:r>
        <w:rPr>
          <w:rFonts w:hint="eastAsia" w:ascii="宋体" w:hAnsi="宋体" w:eastAsia="宋体" w:cs="宋体"/>
          <w:b/>
          <w:color w:val="000000" w:themeColor="text1"/>
          <w:sz w:val="36"/>
          <w:szCs w:val="30"/>
          <w14:textFill>
            <w14:solidFill>
              <w14:schemeClr w14:val="tx1"/>
            </w14:solidFill>
          </w14:textFill>
        </w:rPr>
        <w:br w:type="page"/>
      </w:r>
    </w:p>
    <w:bookmarkEnd w:id="190"/>
    <w:p>
      <w:pPr>
        <w:pStyle w:val="17"/>
        <w:tabs>
          <w:tab w:val="right" w:leader="dot" w:pos="9402"/>
        </w:tabs>
        <w:spacing w:line="480" w:lineRule="exact"/>
        <w:ind w:left="0" w:leftChars="0"/>
        <w:jc w:val="center"/>
        <w:outlineLvl w:val="0"/>
        <w:rPr>
          <w:rFonts w:hint="eastAsia" w:ascii="宋体" w:hAnsi="宋体" w:eastAsia="宋体" w:cs="宋体"/>
          <w:b/>
          <w:color w:val="000000" w:themeColor="text1"/>
          <w:sz w:val="36"/>
          <w:szCs w:val="30"/>
          <w14:textFill>
            <w14:solidFill>
              <w14:schemeClr w14:val="tx1"/>
            </w14:solidFill>
          </w14:textFill>
        </w:rPr>
      </w:pPr>
      <w:bookmarkStart w:id="208" w:name="招标文件04章合同条款及格式03_08"/>
      <w:bookmarkEnd w:id="208"/>
      <w:bookmarkStart w:id="209" w:name="招标文件04章合同条款及格式01"/>
      <w:bookmarkEnd w:id="209"/>
      <w:bookmarkStart w:id="210" w:name="_Hlt41879464"/>
      <w:bookmarkEnd w:id="210"/>
      <w:bookmarkStart w:id="211" w:name="_Toc30864"/>
      <w:bookmarkStart w:id="212" w:name="_Toc6469"/>
      <w:bookmarkStart w:id="213" w:name="_Toc403569796"/>
      <w:bookmarkStart w:id="214" w:name="_Toc148265480"/>
      <w:bookmarkStart w:id="215" w:name="_Toc303945820"/>
      <w:bookmarkStart w:id="216" w:name="_Toc44682707"/>
      <w:r>
        <w:rPr>
          <w:rFonts w:hint="eastAsia" w:ascii="宋体" w:hAnsi="宋体" w:eastAsia="宋体" w:cs="宋体"/>
          <w:b/>
          <w:color w:val="000000" w:themeColor="text1"/>
          <w:sz w:val="36"/>
          <w:szCs w:val="30"/>
          <w:lang w:val="en-US" w:eastAsia="zh-CN"/>
          <w14:textFill>
            <w14:solidFill>
              <w14:schemeClr w14:val="tx1"/>
            </w14:solidFill>
          </w14:textFill>
        </w:rPr>
        <w:t>第五篇  合同草案条款</w:t>
      </w:r>
      <w:bookmarkEnd w:id="211"/>
      <w:bookmarkEnd w:id="212"/>
      <w:bookmarkEnd w:id="213"/>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1、定义</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1.1甲方（需方）即采购人，是指通过竞争性谈判采购，接受合同货物及服务的各级国家机关、事业单位和团体组织。</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1.2乙方（供方）即成交供应商，是指成交后提供合同货物和服务的自然人、法人及其他组织。</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1.3合同是指由甲乙双方按照竞争性谈判文件和响应文件的实质性内容，通过协商一致达成的书面协议。</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1.4合同价格指以成交价格为依据，在供方全面履行合同义务后，需方（或财政部门）应支付给供方的金额。</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1.5技术资料是指合同货物及其相关的设计、制造、监造、检验、验收等文件（包括图纸、各种文字说明、标准）。</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2、货物内容</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合同包括以下内容：货物名称、型号规格、技术参数、数量（单位）等内容。</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3、合同价格</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3.1合同价格即合同总价。</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3.2合同价格包括合同货物、技术资料、合同货物的税费、运杂费、保险费、包装费、装卸费及与货物有关的供方应纳的税费，所有税费由乙方负担。</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3.3合同货物单价为不变价。</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4、转包或分包</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4.1本合同范围的货物，应由乙方直接供应，不得转让他人供应；</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4.2非经甲方书面同意，乙方不得将本合同范围的货物全部或部分分包给他人供应；</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4.3如有转让和未经甲方同意的分包行为，甲方有权解除合同，没收履约保证金并追究乙方的违约责任。</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5、质量保证及售后服务</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5.1乙方应按竞争性谈判文件规定的货物性能、技术要求、质量标准向甲方提供未经使用的全新产品。</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5.2乙方提供的货物在质保期内因货物本身的质量问题发生故障，乙方应负责免费更换。对达不到技术要求者，根据实际情况，经双方协商，可按以下办法处理：</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5.2.1更换：由乙方承担所发生的全部费用。</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5.2.2贬值处理：由甲乙双方合议定价。</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5.2.3退货处理：乙方应退还甲方支付的合同款，同时应承担该货物的直接费用（运输、保险、检验、货款利息及银行手续费等）。</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5.3如在使用过程中发生质量问题，乙方应同本项目“第四篇 谈判项目服务需求”对质量保证及售后服务内容的约定。</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5.4在质保期内，乙方应对货物出现的质量及安全问题负责处理解决并承担一切费用。</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6、付款</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6.1本合同使用货币币制如未作特别说明均为人民币。</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6.2付款方式：银行转账、现金支票。</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6.3付款方法：同本项目“第四篇 谈判项目服务需求”中关于付款方式的约定。</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7、检查验收</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7.1供方应随货物提供合格证和质量证明文件，如是国外进口的货物还须提供入关证明。</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7.2货物验收</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方所交货物的各种质量指标不得低于供方提供样品的质量指标（无样品时按供方响应文件中所提供的“技术文件”执行），售后服务质量要求按照竞争性谈判文件和响应文件的内容执行。供方交货时，需方可根据需要随机抽取一部分货物送有关权威检测部门检测，如检测不合格，供方负责赔偿需方一切损失。</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7.3货物验收报告应由需方、供方经办人签字，并加盖双方公章，以此作为支付凭据。</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8、索赔</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供方对货物与合同要求不符负有责任，并且需方已于规定交货内和质量保证期内提出索赔，供方应按需方同意的下述一种或多种方法解决索赔事宜。</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8.2根据货物的疵劣和受损程度以及需方遭受损失的金额，经双方同意降低货物价格。</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9、知识产权</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9.1甲方在中华人民共和国境内使用乙方提供的货物及服务时免受第三方提出的侵犯其专利权或其它知识产权的起诉。如果第三方提出侵权指控，乙方承担由此而引起的一切法律责任和费用。</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9.2若涉及软件开发等服务类项目知识产权的，知识产权归采购人所有</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10、合同争议的解决</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10.1当事人友好协商达成一致</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10.2在60天内当事人协商不能达成协议的，可提请采购人当地仲裁机构仲裁。</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11、违约责任</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按《中华人民共和国</w:t>
      </w:r>
      <w:r>
        <w:rPr>
          <w:rFonts w:hint="eastAsia" w:ascii="宋体" w:hAnsi="宋体" w:eastAsia="宋体" w:cs="宋体"/>
          <w:color w:val="000000" w:themeColor="text1"/>
          <w:sz w:val="24"/>
          <w:szCs w:val="24"/>
          <w:lang w:eastAsia="zh-CN"/>
          <w14:textFill>
            <w14:solidFill>
              <w14:schemeClr w14:val="tx1"/>
            </w14:solidFill>
          </w14:textFill>
        </w:rPr>
        <w:t>民法典</w:t>
      </w:r>
      <w:r>
        <w:rPr>
          <w:rFonts w:hint="eastAsia" w:ascii="宋体" w:hAnsi="宋体" w:eastAsia="宋体" w:cs="宋体"/>
          <w:color w:val="000000" w:themeColor="text1"/>
          <w:sz w:val="24"/>
          <w:szCs w:val="24"/>
          <w14:textFill>
            <w14:solidFill>
              <w14:schemeClr w14:val="tx1"/>
            </w14:solidFill>
          </w14:textFill>
        </w:rPr>
        <w:t>》、《中华人民共和国政府采购法》有关条款，或由供需双方约定。</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12、合同生效及其它</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12.1合同生效及其效力应符合《中华人民共和国</w:t>
      </w:r>
      <w:r>
        <w:rPr>
          <w:rFonts w:hint="eastAsia" w:ascii="宋体" w:hAnsi="宋体" w:eastAsia="宋体" w:cs="宋体"/>
          <w:color w:val="000000" w:themeColor="text1"/>
          <w:sz w:val="24"/>
          <w:szCs w:val="24"/>
          <w:lang w:eastAsia="zh-CN"/>
          <w14:textFill>
            <w14:solidFill>
              <w14:schemeClr w14:val="tx1"/>
            </w14:solidFill>
          </w14:textFill>
        </w:rPr>
        <w:t>民法典</w:t>
      </w:r>
      <w:r>
        <w:rPr>
          <w:rFonts w:hint="eastAsia" w:ascii="宋体" w:hAnsi="宋体" w:eastAsia="宋体" w:cs="宋体"/>
          <w:color w:val="000000" w:themeColor="text1"/>
          <w:sz w:val="24"/>
          <w:szCs w:val="24"/>
          <w14:textFill>
            <w14:solidFill>
              <w14:schemeClr w14:val="tx1"/>
            </w14:solidFill>
          </w14:textFill>
        </w:rPr>
        <w:t>》有关规定。</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12.2合同应经当事人法定代表人或委托代理人签字，加盖双方合同专用章或公章。</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12.3合同所包括附件，是合同不可分割的一部分，具有同等法法律效力。</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12.4合同需提供担保的，按《中华人民共和国</w:t>
      </w:r>
      <w:r>
        <w:rPr>
          <w:rFonts w:hint="eastAsia" w:ascii="宋体" w:hAnsi="宋体" w:eastAsia="宋体" w:cs="宋体"/>
          <w:color w:val="000000" w:themeColor="text1"/>
          <w:sz w:val="24"/>
          <w:szCs w:val="24"/>
          <w:lang w:eastAsia="zh-CN"/>
          <w14:textFill>
            <w14:solidFill>
              <w14:schemeClr w14:val="tx1"/>
            </w14:solidFill>
          </w14:textFill>
        </w:rPr>
        <w:t>民法典</w:t>
      </w:r>
      <w:r>
        <w:rPr>
          <w:rFonts w:hint="eastAsia" w:ascii="宋体" w:hAnsi="宋体" w:eastAsia="宋体" w:cs="宋体"/>
          <w:color w:val="000000" w:themeColor="text1"/>
          <w:sz w:val="24"/>
          <w:szCs w:val="24"/>
          <w14:textFill>
            <w14:solidFill>
              <w14:schemeClr w14:val="tx1"/>
            </w14:solidFill>
          </w14:textFill>
        </w:rPr>
        <w:t>》规定执行。</w:t>
      </w:r>
    </w:p>
    <w:p>
      <w:pPr>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12.5本合同条件未尽事宜依照《中华人民共和国</w:t>
      </w:r>
      <w:r>
        <w:rPr>
          <w:rFonts w:hint="eastAsia" w:ascii="宋体" w:hAnsi="宋体" w:eastAsia="宋体" w:cs="宋体"/>
          <w:color w:val="000000" w:themeColor="text1"/>
          <w:sz w:val="24"/>
          <w:szCs w:val="24"/>
          <w:lang w:eastAsia="zh-CN"/>
          <w14:textFill>
            <w14:solidFill>
              <w14:schemeClr w14:val="tx1"/>
            </w14:solidFill>
          </w14:textFill>
        </w:rPr>
        <w:t>民法典</w:t>
      </w:r>
      <w:r>
        <w:rPr>
          <w:rFonts w:hint="eastAsia" w:ascii="宋体" w:hAnsi="宋体" w:eastAsia="宋体" w:cs="宋体"/>
          <w:color w:val="000000" w:themeColor="text1"/>
          <w:sz w:val="24"/>
          <w:szCs w:val="24"/>
          <w14:textFill>
            <w14:solidFill>
              <w14:schemeClr w14:val="tx1"/>
            </w14:solidFill>
          </w14:textFill>
        </w:rPr>
        <w:t>》，由供需双方共同协商确定。</w:t>
      </w:r>
    </w:p>
    <w:p>
      <w:pPr>
        <w:snapToGrid w:val="0"/>
        <w:spacing w:line="40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r>
        <w:rPr>
          <w:rFonts w:hint="eastAsia" w:ascii="宋体" w:hAnsi="宋体" w:eastAsia="宋体" w:cs="宋体"/>
          <w:color w:val="000000" w:themeColor="text1"/>
          <w:sz w:val="24"/>
          <w14:textFill>
            <w14:solidFill>
              <w14:schemeClr w14:val="tx1"/>
            </w14:solidFill>
          </w14:textFill>
        </w:rPr>
        <w:t>附页：1、合同格式</w:t>
      </w:r>
      <w:bookmarkEnd w:id="214"/>
      <w:bookmarkEnd w:id="215"/>
    </w:p>
    <w:p>
      <w:pPr>
        <w:spacing w:line="500" w:lineRule="exact"/>
        <w:jc w:val="center"/>
        <w:outlineLvl w:val="1"/>
        <w:rPr>
          <w:rFonts w:hint="eastAsia" w:ascii="宋体" w:hAnsi="宋体" w:eastAsia="宋体" w:cs="宋体"/>
          <w:b/>
          <w:color w:val="000000" w:themeColor="text1"/>
          <w:sz w:val="44"/>
          <w14:textFill>
            <w14:solidFill>
              <w14:schemeClr w14:val="tx1"/>
            </w14:solidFill>
          </w14:textFill>
        </w:rPr>
      </w:pPr>
      <w:bookmarkStart w:id="217" w:name="_Toc16957"/>
      <w:bookmarkStart w:id="218" w:name="_Toc17094"/>
      <w:bookmarkStart w:id="219" w:name="_Toc17477"/>
      <w:bookmarkStart w:id="220" w:name="_Toc25535"/>
      <w:r>
        <w:rPr>
          <w:rFonts w:hint="eastAsia" w:ascii="宋体" w:hAnsi="宋体" w:eastAsia="宋体" w:cs="宋体"/>
          <w:b/>
          <w:color w:val="000000" w:themeColor="text1"/>
          <w:sz w:val="44"/>
          <w14:textFill>
            <w14:solidFill>
              <w14:schemeClr w14:val="tx1"/>
            </w14:solidFill>
          </w14:textFill>
        </w:rPr>
        <w:t>采购购销合同</w:t>
      </w:r>
      <w:bookmarkEnd w:id="217"/>
      <w:bookmarkEnd w:id="218"/>
      <w:bookmarkEnd w:id="219"/>
      <w:bookmarkEnd w:id="220"/>
    </w:p>
    <w:p>
      <w:pPr>
        <w:spacing w:line="500" w:lineRule="exact"/>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项目名称：                               </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项目</w:t>
      </w:r>
      <w:r>
        <w:rPr>
          <w:rFonts w:hint="eastAsia" w:ascii="宋体" w:hAnsi="宋体" w:eastAsia="宋体" w:cs="宋体"/>
          <w:color w:val="000000" w:themeColor="text1"/>
          <w:sz w:val="24"/>
          <w:lang w:eastAsia="zh-CN"/>
          <w14:textFill>
            <w14:solidFill>
              <w14:schemeClr w14:val="tx1"/>
            </w14:solidFill>
          </w14:textFill>
        </w:rPr>
        <w:t>编</w:t>
      </w:r>
      <w:r>
        <w:rPr>
          <w:rFonts w:hint="eastAsia" w:ascii="宋体" w:hAnsi="宋体" w:eastAsia="宋体" w:cs="宋体"/>
          <w:color w:val="000000" w:themeColor="text1"/>
          <w:sz w:val="24"/>
          <w14:textFill>
            <w14:solidFill>
              <w14:schemeClr w14:val="tx1"/>
            </w14:solidFill>
          </w14:textFill>
        </w:rPr>
        <w:t xml:space="preserve">号： </w:t>
      </w:r>
      <w:r>
        <w:rPr>
          <w:rFonts w:hint="eastAsia" w:ascii="宋体" w:hAnsi="宋体" w:eastAsia="宋体" w:cs="宋体"/>
          <w:color w:val="000000" w:themeColor="text1"/>
          <w14:textFill>
            <w14:solidFill>
              <w14:schemeClr w14:val="tx1"/>
            </w14:solidFill>
          </w14:textFill>
        </w:rPr>
        <w:t xml:space="preserve">                 </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甲方（需方）：___________________________      计价单位：____________</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乙方（供方）：___________________________      计量单位：_____________</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经双方协商一致，达成以下购销合同：</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741"/>
        <w:gridCol w:w="984"/>
        <w:gridCol w:w="788"/>
        <w:gridCol w:w="85"/>
        <w:gridCol w:w="899"/>
        <w:gridCol w:w="1575"/>
        <w:gridCol w:w="2211"/>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trPr>
        <w:tc>
          <w:tcPr>
            <w:tcW w:w="1330"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商品名称</w:t>
            </w:r>
          </w:p>
        </w:tc>
        <w:tc>
          <w:tcPr>
            <w:tcW w:w="174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规格型号</w:t>
            </w:r>
          </w:p>
        </w:tc>
        <w:tc>
          <w:tcPr>
            <w:tcW w:w="984"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数量</w:t>
            </w:r>
          </w:p>
        </w:tc>
        <w:tc>
          <w:tcPr>
            <w:tcW w:w="788"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单价</w:t>
            </w:r>
          </w:p>
        </w:tc>
        <w:tc>
          <w:tcPr>
            <w:tcW w:w="984" w:type="dxa"/>
            <w:gridSpan w:val="2"/>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总价</w:t>
            </w:r>
          </w:p>
        </w:tc>
        <w:tc>
          <w:tcPr>
            <w:tcW w:w="1575"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交货时间</w:t>
            </w:r>
          </w:p>
        </w:tc>
        <w:tc>
          <w:tcPr>
            <w:tcW w:w="221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74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788"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gridSpan w:val="2"/>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575"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221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74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788"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gridSpan w:val="2"/>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575"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221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74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788"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gridSpan w:val="2"/>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575"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221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74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788"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gridSpan w:val="2"/>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575"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221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74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788"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gridSpan w:val="2"/>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575"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221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74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788"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gridSpan w:val="2"/>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575"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221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564" w:hRule="atLeast"/>
        </w:trPr>
        <w:tc>
          <w:tcPr>
            <w:tcW w:w="1330" w:type="dxa"/>
            <w:tcBorders>
              <w:bottom w:val="single" w:color="auto" w:sz="4" w:space="0"/>
            </w:tcBorders>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741" w:type="dxa"/>
            <w:tcBorders>
              <w:bottom w:val="single" w:color="auto" w:sz="4" w:space="0"/>
            </w:tcBorders>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tcBorders>
              <w:bottom w:val="single" w:color="auto" w:sz="4" w:space="0"/>
            </w:tcBorders>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788" w:type="dxa"/>
            <w:tcBorders>
              <w:bottom w:val="single" w:color="auto" w:sz="4" w:space="0"/>
            </w:tcBorders>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gridSpan w:val="2"/>
            <w:tcBorders>
              <w:bottom w:val="single" w:color="auto" w:sz="4" w:space="0"/>
            </w:tcBorders>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575" w:type="dxa"/>
            <w:tcBorders>
              <w:bottom w:val="single" w:color="auto" w:sz="4" w:space="0"/>
            </w:tcBorders>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2211" w:type="dxa"/>
            <w:tcBorders>
              <w:bottom w:val="single" w:color="auto" w:sz="4" w:space="0"/>
            </w:tcBorders>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74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788"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gridSpan w:val="2"/>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575"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221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Pr>
        <w:tc>
          <w:tcPr>
            <w:tcW w:w="1330"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74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788"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984" w:type="dxa"/>
            <w:gridSpan w:val="2"/>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1575"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c>
          <w:tcPr>
            <w:tcW w:w="2211" w:type="dxa"/>
            <w:noWrap w:val="0"/>
            <w:vAlign w:val="center"/>
          </w:tcPr>
          <w:p>
            <w:pPr>
              <w:spacing w:line="500" w:lineRule="exact"/>
              <w:jc w:val="center"/>
              <w:rPr>
                <w:rFonts w:hint="eastAsia" w:ascii="宋体" w:hAnsi="宋体" w:eastAsia="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8"/>
            <w:noWrap w:val="0"/>
            <w:vAlign w:val="center"/>
          </w:tcPr>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合计人民币（小写）：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Pr>
        <w:tc>
          <w:tcPr>
            <w:tcW w:w="9613" w:type="dxa"/>
            <w:gridSpan w:val="8"/>
            <w:noWrap w:val="0"/>
            <w:vAlign w:val="center"/>
          </w:tcPr>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合计人民币（大写）：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2052" w:hRule="atLeast"/>
        </w:trPr>
        <w:tc>
          <w:tcPr>
            <w:tcW w:w="9613" w:type="dxa"/>
            <w:gridSpan w:val="8"/>
            <w:noWrap w:val="0"/>
            <w:vAlign w:val="top"/>
          </w:tcPr>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一、质量要求和技术标准。供方提供的商品必须是全新的，完全符合国家有关技术标准，供方的质量保证及售后服务承诺如下：</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1、质保期限：</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2、保修范围：</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3、服务措施：</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4、质保期后服务：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913" w:hRule="atLeast"/>
        </w:trPr>
        <w:tc>
          <w:tcPr>
            <w:tcW w:w="9613" w:type="dxa"/>
            <w:gridSpan w:val="8"/>
            <w:noWrap w:val="0"/>
            <w:vAlign w:val="top"/>
          </w:tcPr>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二、随机备品、附件、工具数量及供应方法：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cantSplit/>
          <w:trHeight w:val="751" w:hRule="atLeast"/>
        </w:trPr>
        <w:tc>
          <w:tcPr>
            <w:tcW w:w="9613" w:type="dxa"/>
            <w:gridSpan w:val="8"/>
            <w:noWrap w:val="0"/>
            <w:vAlign w:val="top"/>
          </w:tcPr>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三、交提货方式：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9628" w:type="dxa"/>
            <w:gridSpan w:val="9"/>
            <w:noWrap w:val="0"/>
            <w:vAlign w:val="top"/>
          </w:tcPr>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四、验收标准、方法：</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如有异议，请于      日内提出。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9"/>
            <w:noWrap w:val="0"/>
            <w:vAlign w:val="top"/>
          </w:tcPr>
          <w:p>
            <w:pPr>
              <w:numPr>
                <w:ilvl w:val="0"/>
                <w:numId w:val="7"/>
              </w:num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9628" w:type="dxa"/>
            <w:gridSpan w:val="9"/>
            <w:noWrap w:val="0"/>
            <w:vAlign w:val="top"/>
          </w:tcPr>
          <w:p>
            <w:pPr>
              <w:numPr>
                <w:ilvl w:val="0"/>
                <w:numId w:val="7"/>
              </w:num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违约责任：</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按《</w:t>
            </w:r>
            <w:r>
              <w:rPr>
                <w:rFonts w:hint="eastAsia" w:ascii="宋体" w:hAnsi="宋体" w:eastAsia="宋体" w:cs="宋体"/>
                <w:color w:val="000000" w:themeColor="text1"/>
                <w:sz w:val="24"/>
                <w:lang w:eastAsia="zh-CN"/>
                <w14:textFill>
                  <w14:solidFill>
                    <w14:schemeClr w14:val="tx1"/>
                  </w14:solidFill>
                </w14:textFill>
              </w:rPr>
              <w:t>民法典</w:t>
            </w:r>
            <w:r>
              <w:rPr>
                <w:rFonts w:hint="eastAsia" w:ascii="宋体" w:hAnsi="宋体" w:eastAsia="宋体" w:cs="宋体"/>
                <w:color w:val="000000" w:themeColor="text1"/>
                <w:sz w:val="24"/>
                <w14:textFill>
                  <w14:solidFill>
                    <w14:schemeClr w14:val="tx1"/>
                  </w14:solidFill>
                </w14:textFill>
              </w:rPr>
              <w:t>》、《政府采购法》执行，或按双方约定。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9628" w:type="dxa"/>
            <w:gridSpan w:val="9"/>
            <w:noWrap w:val="0"/>
            <w:vAlign w:val="top"/>
          </w:tcPr>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七、其他约定事项：</w:t>
            </w:r>
          </w:p>
          <w:p>
            <w:pPr>
              <w:numPr>
                <w:ilvl w:val="0"/>
                <w:numId w:val="8"/>
              </w:numPr>
              <w:tabs>
                <w:tab w:val="left" w:pos="360"/>
                <w:tab w:val="clear" w:pos="1644"/>
              </w:tabs>
              <w:spacing w:line="500" w:lineRule="exact"/>
              <w:ind w:left="360" w:hanging="36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竞争性谈判文件及其补遗书、响应文件和承诺是本合同不可分割的部分。</w:t>
            </w:r>
          </w:p>
          <w:p>
            <w:pPr>
              <w:numPr>
                <w:ilvl w:val="0"/>
                <w:numId w:val="8"/>
              </w:numPr>
              <w:tabs>
                <w:tab w:val="left" w:pos="360"/>
                <w:tab w:val="clear" w:pos="1644"/>
              </w:tabs>
              <w:spacing w:line="500" w:lineRule="exact"/>
              <w:ind w:left="360" w:hanging="36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本合同如发生争议由双方协商解决，协商不成向需方所在人民法院提请诉讼。</w:t>
            </w:r>
          </w:p>
          <w:p>
            <w:pPr>
              <w:numPr>
                <w:ilvl w:val="0"/>
                <w:numId w:val="8"/>
              </w:numPr>
              <w:tabs>
                <w:tab w:val="left" w:pos="360"/>
                <w:tab w:val="clear" w:pos="1644"/>
              </w:tabs>
              <w:spacing w:line="500" w:lineRule="exact"/>
              <w:ind w:left="360" w:hanging="36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本合同一式__份， 需方__份，供方__份，采购代理机构</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份，财政部门</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份，具同等法律效力。</w:t>
            </w:r>
          </w:p>
          <w:p>
            <w:pPr>
              <w:numPr>
                <w:ilvl w:val="0"/>
                <w:numId w:val="8"/>
              </w:numPr>
              <w:tabs>
                <w:tab w:val="left" w:pos="360"/>
                <w:tab w:val="clear" w:pos="1644"/>
              </w:tabs>
              <w:spacing w:line="500" w:lineRule="exact"/>
              <w:ind w:left="360" w:hanging="36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7" w:hRule="atLeast"/>
        </w:trPr>
        <w:tc>
          <w:tcPr>
            <w:tcW w:w="4928" w:type="dxa"/>
            <w:gridSpan w:val="5"/>
            <w:noWrap w:val="0"/>
            <w:vAlign w:val="top"/>
          </w:tcPr>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需方：</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地址：</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联系电话：</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授权代表：</w:t>
            </w:r>
          </w:p>
        </w:tc>
        <w:tc>
          <w:tcPr>
            <w:tcW w:w="4700" w:type="dxa"/>
            <w:gridSpan w:val="4"/>
            <w:noWrap w:val="0"/>
            <w:vAlign w:val="top"/>
          </w:tcPr>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供方：</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地址：</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电话：</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传真：</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开户银行：</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账号：</w:t>
            </w:r>
          </w:p>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授权代表：</w:t>
            </w:r>
          </w:p>
          <w:p>
            <w:pPr>
              <w:spacing w:line="500" w:lineRule="exact"/>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1"/>
                <w14:textFill>
                  <w14:solidFill>
                    <w14:schemeClr w14:val="tx1"/>
                  </w14:solidFill>
                </w14:textFill>
              </w:rPr>
              <w:t>（本栏请用计算机打印以便于准确付款）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9628" w:type="dxa"/>
            <w:gridSpan w:val="9"/>
            <w:noWrap w:val="0"/>
            <w:vAlign w:val="top"/>
          </w:tcPr>
          <w:p>
            <w:pPr>
              <w:spacing w:line="5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备注：</w:t>
            </w:r>
          </w:p>
          <w:p>
            <w:pPr>
              <w:spacing w:line="500" w:lineRule="exact"/>
              <w:rPr>
                <w:rFonts w:hint="eastAsia" w:ascii="宋体" w:hAnsi="宋体" w:eastAsia="宋体" w:cs="宋体"/>
                <w:color w:val="000000" w:themeColor="text1"/>
                <w:sz w:val="24"/>
                <w14:textFill>
                  <w14:solidFill>
                    <w14:schemeClr w14:val="tx1"/>
                  </w14:solidFill>
                </w14:textFill>
              </w:rPr>
            </w:pPr>
          </w:p>
          <w:p>
            <w:pPr>
              <w:spacing w:line="500" w:lineRule="exact"/>
              <w:rPr>
                <w:rFonts w:hint="eastAsia" w:ascii="宋体" w:hAnsi="宋体" w:eastAsia="宋体" w:cs="宋体"/>
                <w:color w:val="000000" w:themeColor="text1"/>
                <w:sz w:val="24"/>
                <w14:textFill>
                  <w14:solidFill>
                    <w14:schemeClr w14:val="tx1"/>
                  </w14:solidFill>
                </w14:textFill>
              </w:rPr>
            </w:pPr>
          </w:p>
          <w:p>
            <w:pPr>
              <w:spacing w:line="500" w:lineRule="exact"/>
              <w:rPr>
                <w:rFonts w:hint="eastAsia" w:ascii="宋体" w:hAnsi="宋体" w:eastAsia="宋体" w:cs="宋体"/>
                <w:color w:val="000000" w:themeColor="text1"/>
                <w:sz w:val="24"/>
                <w14:textFill>
                  <w14:solidFill>
                    <w14:schemeClr w14:val="tx1"/>
                  </w14:solidFill>
                </w14:textFill>
              </w:rPr>
            </w:pPr>
          </w:p>
          <w:p>
            <w:pPr>
              <w:spacing w:line="500" w:lineRule="exact"/>
              <w:rPr>
                <w:rFonts w:hint="eastAsia" w:ascii="宋体" w:hAnsi="宋体" w:eastAsia="宋体" w:cs="宋体"/>
                <w:color w:val="000000" w:themeColor="text1"/>
                <w:sz w:val="24"/>
                <w14:textFill>
                  <w14:solidFill>
                    <w14:schemeClr w14:val="tx1"/>
                  </w14:solidFill>
                </w14:textFill>
              </w:rPr>
            </w:pPr>
          </w:p>
        </w:tc>
      </w:tr>
    </w:tbl>
    <w:p>
      <w:pPr>
        <w:tabs>
          <w:tab w:val="left" w:pos="9000"/>
        </w:tabs>
        <w:spacing w:line="276" w:lineRule="auto"/>
        <w:jc w:val="center"/>
        <w:rPr>
          <w:rFonts w:hint="eastAsia" w:ascii="宋体" w:hAnsi="宋体" w:eastAsia="宋体" w:cs="宋体"/>
          <w:color w:val="000000" w:themeColor="text1"/>
          <w:sz w:val="21"/>
          <w:szCs w:val="21"/>
          <w:lang w:eastAsia="zh-CN"/>
          <w14:textFill>
            <w14:solidFill>
              <w14:schemeClr w14:val="tx1"/>
            </w14:solidFill>
          </w14:textFill>
        </w:rPr>
        <w:sectPr>
          <w:footerReference r:id="rId6" w:type="default"/>
          <w:footerReference r:id="rId7" w:type="even"/>
          <w:pgSz w:w="11907" w:h="16840"/>
          <w:pgMar w:top="1134" w:right="1191" w:bottom="1134" w:left="1304" w:header="964" w:footer="992" w:gutter="0"/>
          <w:pgNumType w:fmt="decimal"/>
          <w:cols w:space="720" w:num="1"/>
          <w:docGrid w:linePitch="312" w:charSpace="0"/>
        </w:sectPr>
      </w:pPr>
      <w:r>
        <w:rPr>
          <w:rFonts w:hint="eastAsia" w:ascii="宋体" w:hAnsi="宋体" w:eastAsia="宋体" w:cs="宋体"/>
          <w:color w:val="000000" w:themeColor="text1"/>
          <w:sz w:val="24"/>
          <w14:textFill>
            <w14:solidFill>
              <w14:schemeClr w14:val="tx1"/>
            </w14:solidFill>
          </w14:textFill>
        </w:rPr>
        <w:t>签约时间：           年   月   日      签约地点</w:t>
      </w:r>
      <w:r>
        <w:rPr>
          <w:rFonts w:hint="eastAsia" w:ascii="宋体" w:hAnsi="宋体" w:eastAsia="宋体" w:cs="宋体"/>
          <w:color w:val="000000" w:themeColor="text1"/>
          <w:sz w:val="24"/>
          <w:lang w:eastAsia="zh-CN"/>
          <w14:textFill>
            <w14:solidFill>
              <w14:schemeClr w14:val="tx1"/>
            </w14:solidFill>
          </w14:textFill>
        </w:rPr>
        <w:t>：</w:t>
      </w:r>
    </w:p>
    <w:p>
      <w:pPr>
        <w:pStyle w:val="17"/>
        <w:tabs>
          <w:tab w:val="right" w:leader="dot" w:pos="9402"/>
        </w:tabs>
        <w:spacing w:line="480" w:lineRule="exact"/>
        <w:ind w:left="0" w:leftChars="0"/>
        <w:jc w:val="center"/>
        <w:outlineLvl w:val="0"/>
        <w:rPr>
          <w:rFonts w:hint="eastAsia" w:ascii="宋体" w:hAnsi="宋体" w:eastAsia="宋体" w:cs="宋体"/>
          <w:b/>
          <w:color w:val="000000" w:themeColor="text1"/>
          <w:sz w:val="36"/>
          <w:szCs w:val="30"/>
          <w14:textFill>
            <w14:solidFill>
              <w14:schemeClr w14:val="tx1"/>
            </w14:solidFill>
          </w14:textFill>
        </w:rPr>
      </w:pPr>
      <w:bookmarkStart w:id="221" w:name="_Toc11786"/>
      <w:r>
        <w:rPr>
          <w:rFonts w:hint="eastAsia" w:ascii="宋体" w:hAnsi="宋体" w:eastAsia="宋体" w:cs="宋体"/>
          <w:b/>
          <w:color w:val="000000" w:themeColor="text1"/>
          <w:sz w:val="36"/>
          <w:szCs w:val="30"/>
          <w14:textFill>
            <w14:solidFill>
              <w14:schemeClr w14:val="tx1"/>
            </w14:solidFill>
          </w14:textFill>
        </w:rPr>
        <w:t>第</w:t>
      </w:r>
      <w:r>
        <w:rPr>
          <w:rFonts w:hint="eastAsia" w:ascii="宋体" w:hAnsi="宋体" w:eastAsia="宋体" w:cs="宋体"/>
          <w:b/>
          <w:color w:val="000000" w:themeColor="text1"/>
          <w:sz w:val="36"/>
          <w:szCs w:val="30"/>
          <w:lang w:eastAsia="zh-CN"/>
          <w14:textFill>
            <w14:solidFill>
              <w14:schemeClr w14:val="tx1"/>
            </w14:solidFill>
          </w14:textFill>
        </w:rPr>
        <w:t>六</w:t>
      </w:r>
      <w:r>
        <w:rPr>
          <w:rFonts w:hint="eastAsia" w:ascii="宋体" w:hAnsi="宋体" w:eastAsia="宋体" w:cs="宋体"/>
          <w:b/>
          <w:color w:val="000000" w:themeColor="text1"/>
          <w:sz w:val="36"/>
          <w:szCs w:val="30"/>
          <w14:textFill>
            <w14:solidFill>
              <w14:schemeClr w14:val="tx1"/>
            </w14:solidFill>
          </w14:textFill>
        </w:rPr>
        <w:t>篇  响应文件编制要求</w:t>
      </w:r>
      <w:bookmarkEnd w:id="216"/>
      <w:bookmarkEnd w:id="221"/>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一、经济部分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（一）竞争性谈判报价函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（二）明细报价表</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二、技术部分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（一）响应各产品的技术参数（或技术指标）</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（三）技术响应偏离表</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（四）人员要求</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三、商务部分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（一）商务要求响应情况：工期要求、实施地点、质量要求及验收方式。（包括但不限于）</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（二）商务响应偏离表</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（三）其它优惠承诺</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四、资格条件及其他</w:t>
      </w:r>
    </w:p>
    <w:p>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（一）营业执照（副本）或事业单位法人证书（副本）复印件</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w:t>
      </w:r>
      <w:r>
        <w:rPr>
          <w:rFonts w:hint="eastAsia" w:ascii="宋体" w:hAnsi="宋体" w:eastAsia="宋体" w:cs="宋体"/>
          <w:color w:val="000000" w:themeColor="text1"/>
          <w:sz w:val="24"/>
          <w:szCs w:val="24"/>
          <w:lang w:eastAsia="zh-CN"/>
          <w14:textFill>
            <w14:solidFill>
              <w14:schemeClr w14:val="tx1"/>
            </w14:solidFill>
          </w14:textFill>
        </w:rPr>
        <w:t>组织机构代码证复印件</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说明：供应商按“多证合一”登记制度办理营业执照的，组织机构代码证、税务登记证（副本）和社会保险登记证以供应商所提供的法人营业执照（副本）复印件为准。</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（三）法定代表人身份证明书（格式）</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（四）法定代表人授权委托书（格式）</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（五）提供20</w:t>
      </w:r>
      <w:r>
        <w:rPr>
          <w:rFonts w:hint="eastAsia" w:ascii="宋体" w:hAnsi="宋体" w:eastAsia="宋体" w:cs="宋体"/>
          <w:color w:val="000000" w:themeColor="text1"/>
          <w:sz w:val="24"/>
          <w:szCs w:val="24"/>
          <w:lang w:val="en-US" w:eastAsia="zh-CN"/>
          <w14:textFill>
            <w14:solidFill>
              <w14:schemeClr w14:val="tx1"/>
            </w14:solidFill>
          </w14:textFill>
        </w:rPr>
        <w:t>20</w:t>
      </w:r>
      <w:r>
        <w:rPr>
          <w:rFonts w:hint="eastAsia" w:ascii="宋体" w:hAnsi="宋体" w:eastAsia="宋体" w:cs="宋体"/>
          <w:color w:val="000000" w:themeColor="text1"/>
          <w:sz w:val="24"/>
          <w:szCs w:val="24"/>
          <w14:textFill>
            <w14:solidFill>
              <w14:schemeClr w14:val="tx1"/>
            </w14:solidFill>
          </w14:textFill>
        </w:rPr>
        <w:t>年度财务状况报告（表）（表：资产负债表和损益表）复印件。本年度新成立或成立不满一年的组织提供谈判截止时间前一个月的财务报告（表）复印件或可提供银行出具的资信证明复印件。自然人无法提供财务状况报告（表）的，可提供银行出具的资信证明复印件。</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（六）书面声明（格式）</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（七）税务登记证（副本）复印件</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八）缴纳社会保障金的证明材料复印件（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五、其他应提供的资料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（一）中小微企业声明函、监狱企业证明文件、残疾人福利性单位声明函。（非小微企业不提供）</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）其他资料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保证金缴纳证明材料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其他与项目有关的资料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rPr>
          <w:rFonts w:hint="eastAsia" w:ascii="宋体" w:hAnsi="宋体" w:eastAsia="宋体" w:cs="宋体"/>
          <w:b/>
          <w:color w:val="000000" w:themeColor="text1"/>
          <w:sz w:val="24"/>
          <w:szCs w:val="24"/>
          <w14:textFill>
            <w14:solidFill>
              <w14:schemeClr w14:val="tx1"/>
            </w14:solidFill>
          </w14:textFill>
        </w:rPr>
      </w:pPr>
      <w:bookmarkStart w:id="222" w:name="_Toc44682708"/>
      <w:r>
        <w:rPr>
          <w:rFonts w:hint="eastAsia" w:ascii="宋体" w:hAnsi="宋体" w:eastAsia="宋体" w:cs="宋体"/>
          <w:b/>
          <w:color w:val="000000" w:themeColor="text1"/>
          <w:sz w:val="24"/>
          <w:szCs w:val="24"/>
          <w14:textFill>
            <w14:solidFill>
              <w14:schemeClr w14:val="tx1"/>
            </w14:solidFill>
          </w14:textFill>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宋体" w:hAnsi="宋体" w:eastAsia="宋体" w:cs="宋体"/>
          <w:b/>
          <w:color w:val="000000" w:themeColor="text1"/>
          <w:sz w:val="24"/>
          <w:szCs w:val="24"/>
          <w14:textFill>
            <w14:solidFill>
              <w14:schemeClr w14:val="tx1"/>
            </w14:solidFill>
          </w14:textFill>
        </w:rPr>
      </w:pPr>
      <w:bookmarkStart w:id="223" w:name="_Toc5208"/>
      <w:r>
        <w:rPr>
          <w:rFonts w:hint="eastAsia" w:ascii="宋体" w:hAnsi="宋体" w:eastAsia="宋体" w:cs="宋体"/>
          <w:b/>
          <w:color w:val="000000" w:themeColor="text1"/>
          <w:sz w:val="24"/>
          <w:szCs w:val="24"/>
          <w14:textFill>
            <w14:solidFill>
              <w14:schemeClr w14:val="tx1"/>
            </w14:solidFill>
          </w14:textFill>
        </w:rPr>
        <w:t>一、经济部分</w:t>
      </w:r>
      <w:bookmarkEnd w:id="222"/>
      <w:bookmarkEnd w:id="223"/>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（一）竞争性报价函</w:t>
      </w:r>
    </w:p>
    <w:p>
      <w:pPr>
        <w:tabs>
          <w:tab w:val="left" w:pos="6300"/>
        </w:tabs>
        <w:snapToGrid w:val="0"/>
        <w:spacing w:line="480" w:lineRule="exact"/>
        <w:jc w:val="center"/>
        <w:outlineLvl w:val="0"/>
        <w:rPr>
          <w:rFonts w:hint="eastAsia"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竞争性报价函</w:t>
      </w:r>
    </w:p>
    <w:p>
      <w:pPr>
        <w:tabs>
          <w:tab w:val="left" w:pos="6300"/>
        </w:tabs>
        <w:snapToGrid w:val="0"/>
        <w:spacing w:line="312"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（采购人名称）</w:t>
      </w:r>
      <w:r>
        <w:rPr>
          <w:rFonts w:hint="eastAsia" w:ascii="宋体" w:hAnsi="宋体" w:eastAsia="宋体" w:cs="宋体"/>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我方收到____________________________（项目名称）的竞争性谈判文件，经详细研究，决定参加该谈判项目的竞争谈判。</w:t>
      </w: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1、愿意按照竞争性谈判文件中的一切要求，提供本项目的交货及技术服务，初始报价为人民币大写：</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；人民币小写：</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元。以我公司最后报价为准。</w:t>
      </w: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份，副本</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3、我方承诺：本次谈判的有效期为90天。</w:t>
      </w: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4、我方完全理解和接受贵方竞争性谈判文件的一切规定和要求及谈判评审办法。</w:t>
      </w: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5、在整个竞争性谈判过程中，我方若有违规行为，接受按照《中华人民共和国政府采购法》和《竞争性谈判文件》之规定给予惩罚。</w:t>
      </w: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6、我方若成为成交供应商，将按照最终谈判结果签订合同，并且严格履行合同义务。本承诺函将成为合同不可分割的一部分，与合同具有同等的法律效力。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7、我方同意按竞争性谈判文件规定，交纳竞争性谈判文件要求的保证金。</w:t>
      </w: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8、我方未为采购项目提供整体设计、规范编制或者项目管理、监理、监测等服务。</w:t>
      </w: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r>
        <w:rPr>
          <w:rFonts w:hint="eastAsia" w:ascii="宋体" w:hAnsi="宋体" w:eastAsia="宋体" w:cs="宋体"/>
          <w:color w:val="000000" w:themeColor="text1"/>
          <w:sz w:val="24"/>
          <w:szCs w:val="24"/>
          <w14:textFill>
            <w14:solidFill>
              <w14:schemeClr w14:val="tx1"/>
            </w14:solidFill>
          </w14:textFill>
        </w:rPr>
        <w:t>、若我方成为成交供应商，同意按照本采购文件规定缴纳代理服务费。</w:t>
      </w:r>
    </w:p>
    <w:p>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联系人：</w:t>
      </w:r>
    </w:p>
    <w:p>
      <w:pPr>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sectPr>
          <w:pgSz w:w="11907" w:h="16840"/>
          <w:pgMar w:top="1134" w:right="1191" w:bottom="1134" w:left="1304" w:header="851" w:footer="992" w:gutter="0"/>
          <w:pgNumType w:fmt="numberInDash"/>
          <w:cols w:space="720" w:num="1"/>
          <w:docGrid w:linePitch="380" w:charSpace="-5735"/>
        </w:sectPr>
      </w:pPr>
      <w:r>
        <w:rPr>
          <w:rFonts w:hint="eastAsia" w:ascii="宋体" w:hAnsi="宋体" w:eastAsia="宋体" w:cs="宋体"/>
          <w:color w:val="000000" w:themeColor="text1"/>
          <w:sz w:val="24"/>
          <w:szCs w:val="24"/>
          <w14:textFill>
            <w14:solidFill>
              <w14:schemeClr w14:val="tx1"/>
            </w14:solidFill>
          </w14:textFill>
        </w:rPr>
        <w:t xml:space="preserve">                               年   月   日</w:t>
      </w:r>
    </w:p>
    <w:p>
      <w:pPr>
        <w:rPr>
          <w:rFonts w:hint="eastAsia" w:ascii="宋体" w:hAnsi="宋体" w:eastAsia="宋体" w:cs="宋体"/>
          <w:color w:val="000000" w:themeColor="text1"/>
          <w:sz w:val="24"/>
          <w:szCs w:val="24"/>
          <w:lang w:eastAsia="zh-CN"/>
          <w14:textFill>
            <w14:solidFill>
              <w14:schemeClr w14:val="tx1"/>
            </w14:solidFill>
          </w14:textFill>
        </w:rPr>
      </w:pPr>
    </w:p>
    <w:p>
      <w:pPr>
        <w:tabs>
          <w:tab w:val="left" w:pos="2895"/>
        </w:tabs>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（二）明细报价表</w:t>
      </w:r>
    </w:p>
    <w:p>
      <w:pPr>
        <w:jc w:val="center"/>
        <w:rPr>
          <w:rFonts w:hint="eastAsia" w:ascii="宋体" w:hAnsi="宋体" w:eastAsia="宋体" w:cs="宋体"/>
          <w:b/>
          <w:color w:val="000000" w:themeColor="text1"/>
          <w:szCs w:val="28"/>
          <w14:textFill>
            <w14:solidFill>
              <w14:schemeClr w14:val="tx1"/>
            </w14:solidFill>
          </w14:textFill>
        </w:rPr>
      </w:pPr>
      <w:r>
        <w:rPr>
          <w:rFonts w:hint="eastAsia" w:ascii="宋体" w:hAnsi="宋体" w:eastAsia="宋体" w:cs="宋体"/>
          <w:b/>
          <w:color w:val="000000" w:themeColor="text1"/>
          <w:szCs w:val="28"/>
          <w14:textFill>
            <w14:solidFill>
              <w14:schemeClr w14:val="tx1"/>
            </w14:solidFill>
          </w14:textFill>
        </w:rPr>
        <w:t>明细报价表</w:t>
      </w:r>
    </w:p>
    <w:p>
      <w:pPr>
        <w:spacing w:line="360" w:lineRule="auto"/>
        <w:rPr>
          <w:rFonts w:hint="eastAsia" w:ascii="宋体" w:hAnsi="宋体" w:eastAsia="宋体" w:cs="宋体"/>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项目名称：</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
        <w:gridCol w:w="934"/>
        <w:gridCol w:w="2474"/>
        <w:gridCol w:w="1242"/>
        <w:gridCol w:w="1242"/>
        <w:gridCol w:w="934"/>
        <w:gridCol w:w="934"/>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934" w:type="dxa"/>
            <w:noWrap w:val="0"/>
            <w:vAlign w:val="center"/>
          </w:tcPr>
          <w:p>
            <w:pPr>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序号</w:t>
            </w:r>
          </w:p>
        </w:tc>
        <w:tc>
          <w:tcPr>
            <w:tcW w:w="934" w:type="dxa"/>
            <w:noWrap w:val="0"/>
            <w:vAlign w:val="center"/>
          </w:tcPr>
          <w:p>
            <w:pPr>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名称</w:t>
            </w:r>
          </w:p>
        </w:tc>
        <w:tc>
          <w:tcPr>
            <w:tcW w:w="2474" w:type="dxa"/>
            <w:noWrap w:val="0"/>
            <w:vAlign w:val="center"/>
          </w:tcPr>
          <w:p>
            <w:pPr>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品牌、规格型号</w:t>
            </w:r>
          </w:p>
        </w:tc>
        <w:tc>
          <w:tcPr>
            <w:tcW w:w="1242" w:type="dxa"/>
            <w:noWrap w:val="0"/>
            <w:vAlign w:val="center"/>
          </w:tcPr>
          <w:p>
            <w:pPr>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制造商</w:t>
            </w:r>
          </w:p>
        </w:tc>
        <w:tc>
          <w:tcPr>
            <w:tcW w:w="1242" w:type="dxa"/>
            <w:noWrap w:val="0"/>
            <w:vAlign w:val="center"/>
          </w:tcPr>
          <w:p>
            <w:pPr>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原产地</w:t>
            </w:r>
          </w:p>
        </w:tc>
        <w:tc>
          <w:tcPr>
            <w:tcW w:w="934" w:type="dxa"/>
            <w:noWrap w:val="0"/>
            <w:vAlign w:val="center"/>
          </w:tcPr>
          <w:p>
            <w:pPr>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数量</w:t>
            </w:r>
          </w:p>
        </w:tc>
        <w:tc>
          <w:tcPr>
            <w:tcW w:w="934" w:type="dxa"/>
            <w:noWrap w:val="0"/>
            <w:vAlign w:val="center"/>
          </w:tcPr>
          <w:p>
            <w:pPr>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单价</w:t>
            </w:r>
          </w:p>
        </w:tc>
        <w:tc>
          <w:tcPr>
            <w:tcW w:w="934" w:type="dxa"/>
            <w:noWrap w:val="0"/>
            <w:vAlign w:val="center"/>
          </w:tcPr>
          <w:p>
            <w:pPr>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247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247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247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247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247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247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w:t>
            </w: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247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247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9</w:t>
            </w: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247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w:t>
            </w: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247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11</w:t>
            </w: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247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1242"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c>
          <w:tcPr>
            <w:tcW w:w="934" w:type="dxa"/>
            <w:noWrap w:val="0"/>
            <w:vAlign w:val="top"/>
          </w:tcPr>
          <w:p>
            <w:pPr>
              <w:jc w:val="center"/>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34" w:type="dxa"/>
            <w:noWrap w:val="0"/>
            <w:vAlign w:val="center"/>
          </w:tcPr>
          <w:p>
            <w:pPr>
              <w:pStyle w:val="9"/>
              <w:spacing w:line="240" w:lineRule="atLeast"/>
              <w:ind w:left="0"/>
              <w:jc w:val="center"/>
              <w:outlineLvl w:val="0"/>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w:t>
            </w:r>
          </w:p>
        </w:tc>
        <w:tc>
          <w:tcPr>
            <w:tcW w:w="934" w:type="dxa"/>
            <w:noWrap w:val="0"/>
            <w:vAlign w:val="center"/>
          </w:tcPr>
          <w:p>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总计</w:t>
            </w:r>
          </w:p>
        </w:tc>
        <w:tc>
          <w:tcPr>
            <w:tcW w:w="7760" w:type="dxa"/>
            <w:gridSpan w:val="6"/>
            <w:noWrap w:val="0"/>
            <w:vAlign w:val="top"/>
          </w:tcPr>
          <w:p>
            <w:pPr>
              <w:rPr>
                <w:rFonts w:hint="eastAsia" w:ascii="宋体" w:hAnsi="宋体" w:eastAsia="宋体" w:cs="宋体"/>
                <w:color w:val="000000" w:themeColor="text1"/>
                <w:sz w:val="21"/>
                <w:szCs w:val="21"/>
                <w14:textFill>
                  <w14:solidFill>
                    <w14:schemeClr w14:val="tx1"/>
                  </w14:solidFill>
                </w14:textFill>
              </w:rPr>
            </w:pPr>
          </w:p>
        </w:tc>
      </w:tr>
    </w:tbl>
    <w:p>
      <w:pPr>
        <w:spacing w:line="360" w:lineRule="auto"/>
        <w:rPr>
          <w:rFonts w:hint="eastAsia" w:ascii="宋体" w:hAnsi="宋体" w:eastAsia="宋体" w:cs="宋体"/>
          <w:color w:val="000000" w:themeColor="text1"/>
          <w:sz w:val="24"/>
          <w:szCs w:val="24"/>
          <w:u w:val="single"/>
          <w14:textFill>
            <w14:solidFill>
              <w14:schemeClr w14:val="tx1"/>
            </w14:solidFill>
          </w14:textFill>
        </w:rPr>
      </w:pPr>
    </w:p>
    <w:p>
      <w:pPr>
        <w:snapToGrid w:val="0"/>
        <w:spacing w:line="500" w:lineRule="exact"/>
        <w:rPr>
          <w:rFonts w:hint="eastAsia" w:ascii="宋体" w:hAnsi="宋体" w:eastAsia="宋体" w:cs="宋体"/>
          <w:color w:val="000000" w:themeColor="text1"/>
          <w:sz w:val="24"/>
          <w:szCs w:val="28"/>
          <w14:textFill>
            <w14:solidFill>
              <w14:schemeClr w14:val="tx1"/>
            </w14:solidFill>
          </w14:textFill>
        </w:rPr>
      </w:pPr>
    </w:p>
    <w:p>
      <w:pPr>
        <w:snapToGrid w:val="0"/>
        <w:spacing w:line="500" w:lineRule="exact"/>
        <w:ind w:firstLine="480" w:firstLineChars="200"/>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注：1、请供应商完整填写本表。</w:t>
      </w:r>
    </w:p>
    <w:p>
      <w:pPr>
        <w:snapToGrid w:val="0"/>
        <w:spacing w:line="500" w:lineRule="exact"/>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 xml:space="preserve">        2、该表可扩展</w:t>
      </w:r>
      <w:bookmarkStart w:id="224" w:name="OLE_LINK2"/>
      <w:bookmarkStart w:id="225" w:name="OLE_LINK1"/>
      <w:r>
        <w:rPr>
          <w:rFonts w:hint="eastAsia" w:ascii="宋体" w:hAnsi="宋体" w:eastAsia="宋体" w:cs="宋体"/>
          <w:color w:val="000000" w:themeColor="text1"/>
          <w:sz w:val="24"/>
          <w:szCs w:val="28"/>
          <w14:textFill>
            <w14:solidFill>
              <w14:schemeClr w14:val="tx1"/>
            </w14:solidFill>
          </w14:textFill>
        </w:rPr>
        <w:t>，并逐页签字或盖章。</w:t>
      </w:r>
      <w:bookmarkEnd w:id="224"/>
      <w:bookmarkEnd w:id="225"/>
    </w:p>
    <w:p>
      <w:pPr>
        <w:pStyle w:val="15"/>
        <w:spacing w:line="360" w:lineRule="auto"/>
        <w:rPr>
          <w:rFonts w:hint="eastAsia" w:ascii="宋体" w:hAnsi="宋体" w:eastAsia="宋体" w:cs="宋体"/>
          <w:color w:val="000000" w:themeColor="text1"/>
          <w:sz w:val="24"/>
          <w:szCs w:val="24"/>
          <w14:textFill>
            <w14:solidFill>
              <w14:schemeClr w14:val="tx1"/>
            </w14:solidFill>
          </w14:textFill>
        </w:rPr>
      </w:pPr>
    </w:p>
    <w:p>
      <w:pPr>
        <w:pStyle w:val="15"/>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spacing w:line="36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供应商名称（公章）：</w:t>
      </w:r>
    </w:p>
    <w:p>
      <w:pPr>
        <w:spacing w:line="360" w:lineRule="auto"/>
        <w:ind w:right="480" w:firstLine="6480" w:firstLineChars="27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年     月    日</w:t>
      </w:r>
    </w:p>
    <w:p>
      <w:pPr>
        <w:snapToGrid w:val="0"/>
        <w:spacing w:line="360" w:lineRule="auto"/>
        <w:ind w:firstLine="480" w:firstLineChars="200"/>
        <w:rPr>
          <w:rFonts w:hint="eastAsia" w:ascii="宋体" w:hAnsi="宋体" w:eastAsia="宋体" w:cs="宋体"/>
          <w:color w:val="000000" w:themeColor="text1"/>
          <w:sz w:val="24"/>
          <w:szCs w:val="24"/>
          <w:bdr w:val="single" w:color="auto" w:sz="4" w:space="0"/>
          <w14:textFill>
            <w14:solidFill>
              <w14:schemeClr w14:val="tx1"/>
            </w14:solidFill>
          </w14:textFill>
        </w:rPr>
        <w:sectPr>
          <w:headerReference r:id="rId8" w:type="default"/>
          <w:pgSz w:w="11907" w:h="16840"/>
          <w:pgMar w:top="1134" w:right="1191" w:bottom="1134" w:left="1304" w:header="851" w:footer="992" w:gutter="0"/>
          <w:pgNumType w:fmt="numberInDash"/>
          <w:cols w:space="720" w:num="1"/>
          <w:docGrid w:linePitch="380" w:charSpace="-5735"/>
        </w:sect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宋体" w:hAnsi="宋体" w:eastAsia="宋体" w:cs="宋体"/>
          <w:b/>
          <w:color w:val="000000" w:themeColor="text1"/>
          <w:sz w:val="24"/>
          <w:szCs w:val="24"/>
          <w14:textFill>
            <w14:solidFill>
              <w14:schemeClr w14:val="tx1"/>
            </w14:solidFill>
          </w14:textFill>
        </w:rPr>
      </w:pPr>
      <w:bookmarkStart w:id="226" w:name="_Toc6076"/>
      <w:bookmarkStart w:id="227" w:name="_Toc44682709"/>
      <w:bookmarkStart w:id="228" w:name="_Toc485108797"/>
      <w:bookmarkStart w:id="229" w:name="_Toc480979019"/>
      <w:bookmarkStart w:id="230" w:name="_Toc313008357"/>
      <w:bookmarkStart w:id="231" w:name="_Toc313888361"/>
      <w:bookmarkStart w:id="232" w:name="_Toc342913420"/>
      <w:r>
        <w:rPr>
          <w:rFonts w:hint="eastAsia" w:ascii="宋体" w:hAnsi="宋体" w:eastAsia="宋体" w:cs="宋体"/>
          <w:b/>
          <w:color w:val="000000" w:themeColor="text1"/>
          <w:sz w:val="24"/>
          <w:szCs w:val="24"/>
          <w14:textFill>
            <w14:solidFill>
              <w14:schemeClr w14:val="tx1"/>
            </w14:solidFill>
          </w14:textFill>
        </w:rPr>
        <w:t>二、技术部分</w:t>
      </w:r>
      <w:bookmarkEnd w:id="226"/>
      <w:bookmarkEnd w:id="227"/>
      <w:bookmarkEnd w:id="228"/>
      <w:bookmarkEnd w:id="229"/>
    </w:p>
    <w:p>
      <w:pPr>
        <w:rPr>
          <w:rFonts w:hint="eastAsia" w:ascii="宋体" w:hAnsi="宋体" w:eastAsia="宋体" w:cs="宋体"/>
          <w:color w:val="000000" w:themeColor="text1"/>
          <w14:textFill>
            <w14:solidFill>
              <w14:schemeClr w14:val="tx1"/>
            </w14:solidFill>
          </w14:textFill>
        </w:rPr>
      </w:pP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（一）响应各产品的技术参数（或技术指标）</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（二）响应产品属于《财政部 生态环境部关于印发环境标志产品政府采购品目清单的通知》（财库〔2019〕18号）、《财政部 发展改革委关于印发节能产品政府采购品目清单的通知》（财库〔2019〕19号）范围内的节能产品或环境标志产品的证明文件（如果有）</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说明：</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提供响应产品列入《财政部 发展改革委关于印发节能产品政府采购品目清单的通知》（财库〔2019〕19号）中“节能产品政府采购品目清单”所在页面打印件，及国家确定的认证机构出具的、处于有效期之内的节能产品认证证书复印件</w:t>
      </w:r>
    </w:p>
    <w:p>
      <w:pPr>
        <w:keepNext w:val="0"/>
        <w:keepLines w:val="0"/>
        <w:pageBreakBefore w:val="0"/>
        <w:widowControl w:val="0"/>
        <w:tabs>
          <w:tab w:val="left" w:pos="6300"/>
        </w:tabs>
        <w:kinsoku/>
        <w:wordWrap/>
        <w:overflowPunct/>
        <w:topLinePunct w:val="0"/>
        <w:autoSpaceDE/>
        <w:autoSpaceDN/>
        <w:bidi w:val="0"/>
        <w:adjustRightInd/>
        <w:snapToGrid w:val="0"/>
        <w:spacing w:line="440" w:lineRule="exact"/>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提供响应产品列入《财政部 生态环境部关于印发环境标志产品政府采购品目清单的通知》（财库〔2019〕18号）中“环境标志产品政府采购品目清单”所在页面打印件，及国家确定的认证机构出具的、处于有效期之内的环境标志产品认证证书复印件。</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Cs w:val="24"/>
          <w14:textFill>
            <w14:solidFill>
              <w14:schemeClr w14:val="tx1"/>
            </w14:solidFill>
          </w14:textFill>
        </w:rPr>
        <w:br w:type="page"/>
      </w:r>
      <w:r>
        <w:rPr>
          <w:rFonts w:hint="eastAsia" w:ascii="宋体" w:hAnsi="宋体" w:eastAsia="宋体" w:cs="宋体"/>
          <w:color w:val="000000" w:themeColor="text1"/>
          <w:sz w:val="24"/>
          <w:szCs w:val="24"/>
          <w14:textFill>
            <w14:solidFill>
              <w14:schemeClr w14:val="tx1"/>
            </w14:solidFill>
          </w14:textFill>
        </w:rPr>
        <w:t>（三）技术响应偏离表</w:t>
      </w: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bookmarkStart w:id="233" w:name="_Toc14841"/>
      <w:bookmarkStart w:id="234" w:name="_Toc28110"/>
      <w:bookmarkStart w:id="235" w:name="_Toc1097"/>
      <w:r>
        <w:rPr>
          <w:rFonts w:hint="eastAsia" w:ascii="宋体" w:hAnsi="宋体" w:eastAsia="宋体" w:cs="宋体"/>
          <w:color w:val="000000" w:themeColor="text1"/>
          <w:sz w:val="24"/>
          <w:szCs w:val="24"/>
          <w14:textFill>
            <w14:solidFill>
              <w14:schemeClr w14:val="tx1"/>
            </w14:solidFill>
          </w14:textFill>
        </w:rPr>
        <w:t>项目名称：</w:t>
      </w:r>
      <w:bookmarkEnd w:id="233"/>
      <w:bookmarkEnd w:id="234"/>
      <w:bookmarkEnd w:id="235"/>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noWrap w:val="0"/>
            <w:vAlign w:val="center"/>
          </w:tcPr>
          <w:p>
            <w:pPr>
              <w:bidi w:val="0"/>
              <w:jc w:val="center"/>
              <w:rPr>
                <w:rFonts w:hint="eastAsia" w:ascii="宋体" w:hAnsi="宋体" w:eastAsia="宋体" w:cs="宋体"/>
                <w:color w:val="000000" w:themeColor="text1"/>
                <w14:textFill>
                  <w14:solidFill>
                    <w14:schemeClr w14:val="tx1"/>
                  </w14:solidFill>
                </w14:textFill>
              </w:rPr>
            </w:pPr>
            <w:bookmarkStart w:id="236" w:name="_Toc16256"/>
            <w:bookmarkStart w:id="237" w:name="_Toc2754"/>
            <w:bookmarkStart w:id="238" w:name="_Toc17175"/>
            <w:r>
              <w:rPr>
                <w:rFonts w:hint="eastAsia" w:ascii="宋体" w:hAnsi="宋体" w:eastAsia="宋体" w:cs="宋体"/>
                <w:color w:val="000000" w:themeColor="text1"/>
                <w:sz w:val="24"/>
                <w:szCs w:val="24"/>
                <w14:textFill>
                  <w14:solidFill>
                    <w14:schemeClr w14:val="tx1"/>
                  </w14:solidFill>
                </w14:textFill>
              </w:rPr>
              <w:t>序号</w:t>
            </w:r>
            <w:bookmarkEnd w:id="236"/>
            <w:bookmarkEnd w:id="237"/>
            <w:bookmarkEnd w:id="238"/>
          </w:p>
        </w:tc>
        <w:tc>
          <w:tcPr>
            <w:tcW w:w="2658" w:type="dxa"/>
            <w:noWrap w:val="0"/>
            <w:vAlign w:val="center"/>
          </w:tcPr>
          <w:p>
            <w:pPr>
              <w:bidi w:val="0"/>
              <w:jc w:val="center"/>
              <w:rPr>
                <w:rFonts w:hint="eastAsia" w:ascii="宋体" w:hAnsi="宋体" w:eastAsia="宋体" w:cs="宋体"/>
                <w:color w:val="000000" w:themeColor="text1"/>
                <w:sz w:val="24"/>
                <w:szCs w:val="24"/>
                <w14:textFill>
                  <w14:solidFill>
                    <w14:schemeClr w14:val="tx1"/>
                  </w14:solidFill>
                </w14:textFill>
              </w:rPr>
            </w:pPr>
            <w:bookmarkStart w:id="239" w:name="_Toc16272"/>
            <w:bookmarkStart w:id="240" w:name="_Toc32436"/>
            <w:bookmarkStart w:id="241" w:name="_Toc30887"/>
            <w:r>
              <w:rPr>
                <w:rFonts w:hint="eastAsia" w:ascii="宋体" w:hAnsi="宋体" w:eastAsia="宋体" w:cs="宋体"/>
                <w:color w:val="000000" w:themeColor="text1"/>
                <w:sz w:val="24"/>
                <w:szCs w:val="24"/>
                <w14:textFill>
                  <w14:solidFill>
                    <w14:schemeClr w14:val="tx1"/>
                  </w14:solidFill>
                </w14:textFill>
              </w:rPr>
              <w:t>采购需求</w:t>
            </w:r>
            <w:bookmarkEnd w:id="239"/>
            <w:bookmarkEnd w:id="240"/>
            <w:bookmarkEnd w:id="241"/>
          </w:p>
        </w:tc>
        <w:tc>
          <w:tcPr>
            <w:tcW w:w="2759" w:type="dxa"/>
            <w:noWrap w:val="0"/>
            <w:vAlign w:val="center"/>
          </w:tcPr>
          <w:p>
            <w:pPr>
              <w:bidi w:val="0"/>
              <w:jc w:val="center"/>
              <w:rPr>
                <w:rFonts w:hint="eastAsia" w:ascii="宋体" w:hAnsi="宋体" w:eastAsia="宋体" w:cs="宋体"/>
                <w:color w:val="000000" w:themeColor="text1"/>
                <w:sz w:val="24"/>
                <w:szCs w:val="24"/>
                <w14:textFill>
                  <w14:solidFill>
                    <w14:schemeClr w14:val="tx1"/>
                  </w14:solidFill>
                </w14:textFill>
              </w:rPr>
            </w:pPr>
            <w:bookmarkStart w:id="242" w:name="_Toc16914"/>
            <w:bookmarkStart w:id="243" w:name="_Toc4665"/>
            <w:bookmarkStart w:id="244" w:name="_Toc25133"/>
            <w:r>
              <w:rPr>
                <w:rFonts w:hint="eastAsia" w:ascii="宋体" w:hAnsi="宋体" w:eastAsia="宋体" w:cs="宋体"/>
                <w:color w:val="000000" w:themeColor="text1"/>
                <w:sz w:val="24"/>
                <w:szCs w:val="24"/>
                <w14:textFill>
                  <w14:solidFill>
                    <w14:schemeClr w14:val="tx1"/>
                  </w14:solidFill>
                </w14:textFill>
              </w:rPr>
              <w:t>响应情况</w:t>
            </w:r>
            <w:bookmarkEnd w:id="242"/>
            <w:bookmarkEnd w:id="243"/>
            <w:bookmarkEnd w:id="244"/>
          </w:p>
        </w:tc>
        <w:tc>
          <w:tcPr>
            <w:tcW w:w="2067" w:type="dxa"/>
            <w:noWrap w:val="0"/>
            <w:vAlign w:val="center"/>
          </w:tcPr>
          <w:p>
            <w:pPr>
              <w:bidi w:val="0"/>
              <w:jc w:val="center"/>
              <w:rPr>
                <w:rFonts w:hint="eastAsia" w:ascii="宋体" w:hAnsi="宋体" w:eastAsia="宋体" w:cs="宋体"/>
                <w:color w:val="000000" w:themeColor="text1"/>
                <w:sz w:val="24"/>
                <w:szCs w:val="24"/>
                <w14:textFill>
                  <w14:solidFill>
                    <w14:schemeClr w14:val="tx1"/>
                  </w14:solidFill>
                </w14:textFill>
              </w:rPr>
            </w:pPr>
            <w:bookmarkStart w:id="245" w:name="_Toc25397"/>
            <w:bookmarkStart w:id="246" w:name="_Toc9780"/>
            <w:bookmarkStart w:id="247" w:name="_Toc19448"/>
            <w:r>
              <w:rPr>
                <w:rFonts w:hint="eastAsia" w:ascii="宋体" w:hAnsi="宋体" w:eastAsia="宋体" w:cs="宋体"/>
                <w:color w:val="000000" w:themeColor="text1"/>
                <w:sz w:val="24"/>
                <w:szCs w:val="24"/>
                <w14:textFill>
                  <w14:solidFill>
                    <w14:schemeClr w14:val="tx1"/>
                  </w14:solidFill>
                </w14:textFill>
              </w:rPr>
              <w:t>差异说明</w:t>
            </w:r>
            <w:bookmarkEnd w:id="245"/>
            <w:bookmarkEnd w:id="246"/>
            <w:bookmarkEnd w:id="2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658"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759"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067" w:type="dxa"/>
            <w:noWrap w:val="0"/>
            <w:vAlign w:val="center"/>
          </w:tcPr>
          <w:p>
            <w:pPr>
              <w:tabs>
                <w:tab w:val="left" w:pos="6300"/>
              </w:tabs>
              <w:snapToGrid w:val="0"/>
              <w:spacing w:line="500" w:lineRule="exact"/>
              <w:jc w:val="center"/>
              <w:outlineLvl w:val="0"/>
              <w:rPr>
                <w:rFonts w:hint="eastAsia" w:ascii="宋体" w:hAnsi="宋体" w:eastAsia="宋体" w:cs="宋体"/>
                <w:color w:val="000000" w:themeColor="text1"/>
                <w:sz w:val="24"/>
                <w:szCs w:val="24"/>
                <w14:textFill>
                  <w14:solidFill>
                    <w14:schemeClr w14:val="tx1"/>
                  </w14:solidFill>
                </w14:textFill>
              </w:rPr>
            </w:pPr>
          </w:p>
        </w:tc>
      </w:tr>
    </w:tbl>
    <w:p>
      <w:pPr>
        <w:spacing w:line="500" w:lineRule="exact"/>
        <w:ind w:firstLine="600" w:firstLineChars="2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                                      法定代表人授权代表：</w:t>
      </w:r>
    </w:p>
    <w:p>
      <w:pPr>
        <w:spacing w:line="50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spacing w:line="500" w:lineRule="exact"/>
        <w:ind w:firstLine="720" w:firstLineChars="3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（供应商公章）                               （签字或盖章）</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年     月     日</w:t>
      </w: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w:t>
      </w: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本表即为对本项目“第三篇  谈判项目技术需求”中所列技术要求进行比较和响应；</w:t>
      </w: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该表必须按照竞争性谈判要求逐条如实填写，根据响应情况在“差异说明”项填写正偏离或负偏离及原因，完全符合的填写“无差异”；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该表可</w:t>
      </w:r>
      <w:r>
        <w:rPr>
          <w:rFonts w:hint="eastAsia" w:ascii="宋体" w:hAnsi="宋体" w:eastAsia="宋体" w:cs="宋体"/>
          <w:color w:val="000000" w:themeColor="text1"/>
          <w:sz w:val="24"/>
          <w:szCs w:val="24"/>
          <w:lang w:eastAsia="zh-CN"/>
          <w14:textFill>
            <w14:solidFill>
              <w14:schemeClr w14:val="tx1"/>
            </w14:solidFill>
          </w14:textFill>
        </w:rPr>
        <w:t>纵向</w:t>
      </w:r>
      <w:r>
        <w:rPr>
          <w:rFonts w:hint="eastAsia" w:ascii="宋体" w:hAnsi="宋体" w:eastAsia="宋体" w:cs="宋体"/>
          <w:color w:val="000000" w:themeColor="text1"/>
          <w:sz w:val="24"/>
          <w:szCs w:val="24"/>
          <w14:textFill>
            <w14:solidFill>
              <w14:schemeClr w14:val="tx1"/>
            </w14:solidFill>
          </w14:textFill>
        </w:rPr>
        <w:t>扩展，并逐页签字或盖章；</w:t>
      </w: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可附相关技术支撑材料</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（格式自定）</w:t>
      </w: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若“响应情况”栏中仅填写“无偏离”或“有偏离”等内容而未作实质性参数描述，该供应商将失去成为成交供应商的资格，仅保留其合格供应商的身份。</w:t>
      </w:r>
    </w:p>
    <w:p>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p>
    <w:p>
      <w:pPr>
        <w:tabs>
          <w:tab w:val="left" w:pos="6300"/>
        </w:tabs>
        <w:snapToGrid w:val="0"/>
        <w:spacing w:line="500" w:lineRule="exact"/>
        <w:ind w:firstLine="570"/>
        <w:rPr>
          <w:rFonts w:hint="eastAsia" w:ascii="宋体" w:hAnsi="宋体" w:eastAsia="宋体" w:cs="宋体"/>
          <w:color w:val="000000" w:themeColor="text1"/>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（四）人员要求（按“第三篇  谈判项目技术需求”提供资料）</w:t>
      </w:r>
    </w:p>
    <w:p>
      <w:pPr>
        <w:autoSpaceDE w:val="0"/>
        <w:autoSpaceDN w:val="0"/>
        <w:adjustRightInd w:val="0"/>
        <w:snapToGrid w:val="0"/>
        <w:spacing w:line="360" w:lineRule="auto"/>
        <w:jc w:val="center"/>
        <w:rPr>
          <w:rFonts w:hint="eastAsia" w:ascii="宋体" w:hAnsi="宋体" w:eastAsia="宋体" w:cs="宋体"/>
          <w:b/>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14:textFill>
            <w14:solidFill>
              <w14:schemeClr w14:val="tx1"/>
            </w14:solidFill>
          </w14:textFill>
        </w:rPr>
        <w:t>项目管理机构组成表</w:t>
      </w:r>
    </w:p>
    <w:tbl>
      <w:tblPr>
        <w:tblStyle w:val="20"/>
        <w:tblW w:w="0" w:type="auto"/>
        <w:jc w:val="center"/>
        <w:tblLayout w:type="fixed"/>
        <w:tblCellMar>
          <w:top w:w="0" w:type="dxa"/>
          <w:left w:w="0" w:type="dxa"/>
          <w:bottom w:w="0" w:type="dxa"/>
          <w:right w:w="0" w:type="dxa"/>
        </w:tblCellMar>
      </w:tblPr>
      <w:tblGrid>
        <w:gridCol w:w="647"/>
        <w:gridCol w:w="721"/>
        <w:gridCol w:w="719"/>
        <w:gridCol w:w="1081"/>
        <w:gridCol w:w="719"/>
        <w:gridCol w:w="721"/>
        <w:gridCol w:w="719"/>
        <w:gridCol w:w="2524"/>
        <w:gridCol w:w="672"/>
      </w:tblGrid>
      <w:tr>
        <w:tblPrEx>
          <w:tblCellMar>
            <w:top w:w="0" w:type="dxa"/>
            <w:left w:w="0" w:type="dxa"/>
            <w:bottom w:w="0" w:type="dxa"/>
            <w:right w:w="0" w:type="dxa"/>
          </w:tblCellMar>
        </w:tblPrEx>
        <w:trPr>
          <w:cantSplit/>
          <w:trHeight w:val="450" w:hRule="exact"/>
          <w:jc w:val="center"/>
        </w:trPr>
        <w:tc>
          <w:tcPr>
            <w:tcW w:w="647"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职务</w:t>
            </w:r>
          </w:p>
        </w:tc>
        <w:tc>
          <w:tcPr>
            <w:tcW w:w="721"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姓名</w:t>
            </w:r>
          </w:p>
        </w:tc>
        <w:tc>
          <w:tcPr>
            <w:tcW w:w="719"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职称</w:t>
            </w:r>
          </w:p>
        </w:tc>
        <w:tc>
          <w:tcPr>
            <w:tcW w:w="5764" w:type="dxa"/>
            <w:gridSpan w:val="5"/>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执业或职业资格证明</w:t>
            </w:r>
          </w:p>
        </w:tc>
        <w:tc>
          <w:tcPr>
            <w:tcW w:w="672" w:type="dxa"/>
            <w:vMerge w:val="restart"/>
            <w:tcBorders>
              <w:top w:val="single" w:color="000000" w:sz="4" w:space="0"/>
              <w:left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备注</w:t>
            </w:r>
          </w:p>
        </w:tc>
      </w:tr>
      <w:tr>
        <w:tblPrEx>
          <w:tblCellMar>
            <w:top w:w="0" w:type="dxa"/>
            <w:left w:w="0" w:type="dxa"/>
            <w:bottom w:w="0" w:type="dxa"/>
            <w:right w:w="0" w:type="dxa"/>
          </w:tblCellMar>
        </w:tblPrEx>
        <w:trPr>
          <w:cantSplit/>
          <w:trHeight w:val="957" w:hRule="exact"/>
          <w:jc w:val="center"/>
        </w:trPr>
        <w:tc>
          <w:tcPr>
            <w:tcW w:w="647" w:type="dxa"/>
            <w:vMerge w:val="continue"/>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1"/>
                <w:szCs w:val="21"/>
                <w14:textFill>
                  <w14:solidFill>
                    <w14:schemeClr w14:val="tx1"/>
                  </w14:solidFill>
                </w14:textFill>
              </w:rPr>
            </w:pPr>
          </w:p>
        </w:tc>
        <w:tc>
          <w:tcPr>
            <w:tcW w:w="721" w:type="dxa"/>
            <w:vMerge w:val="continue"/>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1"/>
                <w:szCs w:val="21"/>
                <w14:textFill>
                  <w14:solidFill>
                    <w14:schemeClr w14:val="tx1"/>
                  </w14:solidFill>
                </w14:textFill>
              </w:rPr>
            </w:pPr>
          </w:p>
        </w:tc>
        <w:tc>
          <w:tcPr>
            <w:tcW w:w="719" w:type="dxa"/>
            <w:vMerge w:val="continue"/>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1"/>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证书名称</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级别</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证号</w:t>
            </w:r>
          </w:p>
        </w:tc>
        <w:tc>
          <w:tcPr>
            <w:tcW w:w="719"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专业</w:t>
            </w:r>
          </w:p>
        </w:tc>
        <w:tc>
          <w:tcPr>
            <w:tcW w:w="252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napToGrid w:val="0"/>
              <w:spacing w:line="360" w:lineRule="auto"/>
              <w:jc w:val="center"/>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养老保险</w:t>
            </w:r>
          </w:p>
        </w:tc>
        <w:tc>
          <w:tcPr>
            <w:tcW w:w="672" w:type="dxa"/>
            <w:vMerge w:val="continue"/>
            <w:tcBorders>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1"/>
                <w:szCs w:val="21"/>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1"/>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1"/>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1"/>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1"/>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1"/>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1"/>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1"/>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1"/>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1"/>
                <w:szCs w:val="21"/>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r>
        <w:tblPrEx>
          <w:tblCellMar>
            <w:top w:w="0" w:type="dxa"/>
            <w:left w:w="0" w:type="dxa"/>
            <w:bottom w:w="0" w:type="dxa"/>
            <w:right w:w="0" w:type="dxa"/>
          </w:tblCellMar>
        </w:tblPrEx>
        <w:trPr>
          <w:trHeight w:val="450" w:hRule="exact"/>
          <w:jc w:val="center"/>
        </w:trPr>
        <w:tc>
          <w:tcPr>
            <w:tcW w:w="647"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108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21"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719"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2524"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Cs w:val="21"/>
                <w14:textFill>
                  <w14:solidFill>
                    <w14:schemeClr w14:val="tx1"/>
                  </w14:solidFill>
                </w14:textFill>
              </w:rPr>
            </w:pPr>
          </w:p>
        </w:tc>
        <w:tc>
          <w:tcPr>
            <w:tcW w:w="672"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napToGrid w:val="0"/>
              <w:spacing w:line="360" w:lineRule="auto"/>
              <w:jc w:val="left"/>
              <w:rPr>
                <w:rFonts w:hint="eastAsia" w:ascii="宋体" w:hAnsi="宋体" w:eastAsia="宋体" w:cs="宋体"/>
                <w:color w:val="000000" w:themeColor="text1"/>
                <w:kern w:val="0"/>
                <w:sz w:val="24"/>
                <w14:textFill>
                  <w14:solidFill>
                    <w14:schemeClr w14:val="tx1"/>
                  </w14:solidFill>
                </w14:textFill>
              </w:rPr>
            </w:pPr>
          </w:p>
        </w:tc>
      </w:tr>
    </w:tbl>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宋体" w:hAnsi="宋体" w:eastAsia="宋体" w:cs="宋体"/>
          <w:b/>
          <w:color w:val="000000" w:themeColor="text1"/>
          <w:sz w:val="24"/>
          <w:szCs w:val="24"/>
          <w14:textFill>
            <w14:solidFill>
              <w14:schemeClr w14:val="tx1"/>
            </w14:solidFill>
          </w14:textFill>
        </w:rPr>
      </w:pPr>
      <w:bookmarkStart w:id="248" w:name="_Toc485108798"/>
      <w:bookmarkStart w:id="249" w:name="_Toc44682710"/>
      <w:bookmarkStart w:id="250" w:name="_Toc480979020"/>
      <w:bookmarkStart w:id="251" w:name="_Toc4184"/>
      <w:r>
        <w:rPr>
          <w:rFonts w:hint="eastAsia" w:ascii="宋体" w:hAnsi="宋体" w:eastAsia="宋体" w:cs="宋体"/>
          <w:b/>
          <w:color w:val="000000" w:themeColor="text1"/>
          <w:sz w:val="24"/>
          <w:szCs w:val="24"/>
          <w14:textFill>
            <w14:solidFill>
              <w14:schemeClr w14:val="tx1"/>
            </w14:solidFill>
          </w14:textFill>
        </w:rPr>
        <w:t>三、</w:t>
      </w:r>
      <w:r>
        <w:rPr>
          <w:rFonts w:hint="eastAsia" w:ascii="宋体" w:hAnsi="宋体" w:eastAsia="宋体" w:cs="宋体"/>
          <w:b/>
          <w:color w:val="000000" w:themeColor="text1"/>
          <w:sz w:val="24"/>
          <w:szCs w:val="24"/>
          <w:lang w:eastAsia="zh-CN"/>
          <w14:textFill>
            <w14:solidFill>
              <w14:schemeClr w14:val="tx1"/>
            </w14:solidFill>
          </w14:textFill>
        </w:rPr>
        <w:t>商务</w:t>
      </w:r>
      <w:r>
        <w:rPr>
          <w:rFonts w:hint="eastAsia" w:ascii="宋体" w:hAnsi="宋体" w:eastAsia="宋体" w:cs="宋体"/>
          <w:b/>
          <w:color w:val="000000" w:themeColor="text1"/>
          <w:sz w:val="24"/>
          <w:szCs w:val="24"/>
          <w14:textFill>
            <w14:solidFill>
              <w14:schemeClr w14:val="tx1"/>
            </w14:solidFill>
          </w14:textFill>
        </w:rPr>
        <w:t>部分</w:t>
      </w:r>
      <w:bookmarkEnd w:id="248"/>
      <w:bookmarkEnd w:id="249"/>
      <w:bookmarkEnd w:id="250"/>
      <w:bookmarkEnd w:id="251"/>
    </w:p>
    <w:p>
      <w:pPr>
        <w:numPr>
          <w:ilvl w:val="0"/>
          <w:numId w:val="9"/>
        </w:num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商务</w:t>
      </w:r>
      <w:r>
        <w:rPr>
          <w:rFonts w:hint="eastAsia" w:ascii="宋体" w:hAnsi="宋体" w:eastAsia="宋体" w:cs="宋体"/>
          <w:color w:val="000000" w:themeColor="text1"/>
          <w:sz w:val="24"/>
          <w:szCs w:val="24"/>
          <w14:textFill>
            <w14:solidFill>
              <w14:schemeClr w14:val="tx1"/>
            </w14:solidFill>
          </w14:textFill>
        </w:rPr>
        <w:t>要求响应情况：工期要求、实施地点、质量要求及验收方式。（包括但不限于）</w:t>
      </w:r>
    </w:p>
    <w:p>
      <w:pPr>
        <w:snapToGrid w:val="0"/>
        <w:spacing w:line="360" w:lineRule="auto"/>
        <w:ind w:firstLine="562" w:firstLineChars="200"/>
        <w:rPr>
          <w:rFonts w:hint="eastAsia" w:ascii="宋体" w:hAnsi="宋体" w:eastAsia="宋体" w:cs="宋体"/>
          <w:b/>
          <w:color w:val="000000" w:themeColor="text1"/>
          <w14:textFill>
            <w14:solidFill>
              <w14:schemeClr w14:val="tx1"/>
            </w14:solidFill>
          </w14:textFill>
        </w:rPr>
        <w:sectPr>
          <w:footerReference r:id="rId9" w:type="default"/>
          <w:pgSz w:w="11907" w:h="16840"/>
          <w:pgMar w:top="1134" w:right="1191" w:bottom="1077" w:left="1304" w:header="851" w:footer="794" w:gutter="0"/>
          <w:pgNumType w:fmt="decimal"/>
          <w:cols w:space="720" w:num="1"/>
          <w:docGrid w:linePitch="380" w:charSpace="-5735"/>
        </w:sect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w:t>
      </w:r>
      <w:r>
        <w:rPr>
          <w:rFonts w:hint="eastAsia" w:ascii="宋体" w:hAnsi="宋体" w:eastAsia="宋体" w:cs="宋体"/>
          <w:color w:val="000000" w:themeColor="text1"/>
          <w:sz w:val="24"/>
          <w:szCs w:val="24"/>
          <w:lang w:eastAsia="zh-CN"/>
          <w14:textFill>
            <w14:solidFill>
              <w14:schemeClr w14:val="tx1"/>
            </w14:solidFill>
          </w14:textFill>
        </w:rPr>
        <w:t>商务</w:t>
      </w:r>
      <w:r>
        <w:rPr>
          <w:rFonts w:hint="eastAsia" w:ascii="宋体" w:hAnsi="宋体" w:eastAsia="宋体" w:cs="宋体"/>
          <w:color w:val="000000" w:themeColor="text1"/>
          <w:sz w:val="24"/>
          <w:szCs w:val="24"/>
          <w14:textFill>
            <w14:solidFill>
              <w14:schemeClr w14:val="tx1"/>
            </w14:solidFill>
          </w14:textFill>
        </w:rPr>
        <w:t>响应偏离表</w:t>
      </w:r>
    </w:p>
    <w:p>
      <w:pPr>
        <w:snapToGrid w:val="0"/>
        <w:spacing w:line="360" w:lineRule="auto"/>
        <w:jc w:val="center"/>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商务响应偏离表（本表可自行设计格式）</w:t>
      </w:r>
    </w:p>
    <w:p>
      <w:pPr>
        <w:snapToGrid w:val="0"/>
        <w:spacing w:line="360" w:lineRule="auto"/>
        <w:ind w:firstLine="465"/>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对于竞争性谈判文件的服务要求，如有任何偏离请如实填写下表：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noWrap w:val="0"/>
            <w:vAlign w:val="center"/>
          </w:tcPr>
          <w:p>
            <w:pPr>
              <w:bidi w:val="0"/>
              <w:jc w:val="center"/>
              <w:rPr>
                <w:rFonts w:hint="eastAsia" w:ascii="宋体" w:hAnsi="宋体" w:eastAsia="宋体" w:cs="宋体"/>
                <w:color w:val="000000" w:themeColor="text1"/>
                <w:sz w:val="24"/>
                <w:szCs w:val="24"/>
                <w14:textFill>
                  <w14:solidFill>
                    <w14:schemeClr w14:val="tx1"/>
                  </w14:solidFill>
                </w14:textFill>
              </w:rPr>
            </w:pPr>
            <w:bookmarkStart w:id="252" w:name="_Toc750"/>
            <w:bookmarkStart w:id="253" w:name="_Toc20085"/>
            <w:bookmarkStart w:id="254" w:name="_Toc5556"/>
            <w:r>
              <w:rPr>
                <w:rFonts w:hint="eastAsia" w:ascii="宋体" w:hAnsi="宋体" w:eastAsia="宋体" w:cs="宋体"/>
                <w:color w:val="000000" w:themeColor="text1"/>
                <w:sz w:val="24"/>
                <w:szCs w:val="24"/>
                <w14:textFill>
                  <w14:solidFill>
                    <w14:schemeClr w14:val="tx1"/>
                  </w14:solidFill>
                </w14:textFill>
              </w:rPr>
              <w:t>序号</w:t>
            </w:r>
            <w:bookmarkEnd w:id="252"/>
            <w:bookmarkEnd w:id="253"/>
            <w:bookmarkEnd w:id="254"/>
          </w:p>
        </w:tc>
        <w:tc>
          <w:tcPr>
            <w:tcW w:w="3179" w:type="dxa"/>
            <w:noWrap w:val="0"/>
            <w:vAlign w:val="center"/>
          </w:tcPr>
          <w:p>
            <w:pPr>
              <w:bidi w:val="0"/>
              <w:jc w:val="center"/>
              <w:rPr>
                <w:rFonts w:hint="eastAsia" w:ascii="宋体" w:hAnsi="宋体" w:eastAsia="宋体" w:cs="宋体"/>
                <w:color w:val="000000" w:themeColor="text1"/>
                <w:sz w:val="24"/>
                <w:szCs w:val="24"/>
                <w14:textFill>
                  <w14:solidFill>
                    <w14:schemeClr w14:val="tx1"/>
                  </w14:solidFill>
                </w14:textFill>
              </w:rPr>
            </w:pPr>
            <w:bookmarkStart w:id="255" w:name="_Toc13500"/>
            <w:bookmarkStart w:id="256" w:name="_Toc10523"/>
            <w:bookmarkStart w:id="257" w:name="_Toc28345"/>
            <w:r>
              <w:rPr>
                <w:rFonts w:hint="eastAsia" w:ascii="宋体" w:hAnsi="宋体" w:eastAsia="宋体" w:cs="宋体"/>
                <w:color w:val="000000" w:themeColor="text1"/>
                <w:sz w:val="24"/>
                <w:szCs w:val="24"/>
                <w14:textFill>
                  <w14:solidFill>
                    <w14:schemeClr w14:val="tx1"/>
                  </w14:solidFill>
                </w14:textFill>
              </w:rPr>
              <w:t>谈判项目需求</w:t>
            </w:r>
            <w:bookmarkEnd w:id="255"/>
            <w:bookmarkEnd w:id="256"/>
            <w:bookmarkEnd w:id="257"/>
          </w:p>
        </w:tc>
        <w:tc>
          <w:tcPr>
            <w:tcW w:w="2434" w:type="dxa"/>
            <w:noWrap w:val="0"/>
            <w:vAlign w:val="center"/>
          </w:tcPr>
          <w:p>
            <w:pPr>
              <w:bidi w:val="0"/>
              <w:jc w:val="center"/>
              <w:rPr>
                <w:rFonts w:hint="eastAsia" w:ascii="宋体" w:hAnsi="宋体" w:eastAsia="宋体" w:cs="宋体"/>
                <w:color w:val="000000" w:themeColor="text1"/>
                <w:sz w:val="24"/>
                <w:szCs w:val="24"/>
                <w14:textFill>
                  <w14:solidFill>
                    <w14:schemeClr w14:val="tx1"/>
                  </w14:solidFill>
                </w14:textFill>
              </w:rPr>
            </w:pPr>
            <w:bookmarkStart w:id="258" w:name="_Toc27330"/>
            <w:bookmarkStart w:id="259" w:name="_Toc14895"/>
            <w:bookmarkStart w:id="260" w:name="_Toc27876"/>
            <w:r>
              <w:rPr>
                <w:rFonts w:hint="eastAsia" w:ascii="宋体" w:hAnsi="宋体" w:eastAsia="宋体" w:cs="宋体"/>
                <w:color w:val="000000" w:themeColor="text1"/>
                <w:sz w:val="24"/>
                <w:szCs w:val="24"/>
                <w14:textFill>
                  <w14:solidFill>
                    <w14:schemeClr w14:val="tx1"/>
                  </w14:solidFill>
                </w14:textFill>
              </w:rPr>
              <w:t>响应情况</w:t>
            </w:r>
            <w:bookmarkEnd w:id="258"/>
            <w:bookmarkEnd w:id="259"/>
            <w:bookmarkEnd w:id="260"/>
          </w:p>
        </w:tc>
        <w:tc>
          <w:tcPr>
            <w:tcW w:w="2355" w:type="dxa"/>
            <w:noWrap w:val="0"/>
            <w:vAlign w:val="center"/>
          </w:tcPr>
          <w:p>
            <w:pPr>
              <w:bidi w:val="0"/>
              <w:jc w:val="center"/>
              <w:rPr>
                <w:rFonts w:hint="eastAsia" w:ascii="宋体" w:hAnsi="宋体" w:eastAsia="宋体" w:cs="宋体"/>
                <w:color w:val="000000" w:themeColor="text1"/>
                <w:sz w:val="24"/>
                <w:szCs w:val="24"/>
                <w14:textFill>
                  <w14:solidFill>
                    <w14:schemeClr w14:val="tx1"/>
                  </w14:solidFill>
                </w14:textFill>
              </w:rPr>
            </w:pPr>
            <w:bookmarkStart w:id="261" w:name="_Toc13157"/>
            <w:bookmarkStart w:id="262" w:name="_Toc2358"/>
            <w:bookmarkStart w:id="263" w:name="_Toc9000"/>
            <w:r>
              <w:rPr>
                <w:rFonts w:hint="eastAsia" w:ascii="宋体" w:hAnsi="宋体" w:eastAsia="宋体" w:cs="宋体"/>
                <w:color w:val="000000" w:themeColor="text1"/>
                <w:sz w:val="24"/>
                <w:szCs w:val="24"/>
                <w14:textFill>
                  <w14:solidFill>
                    <w14:schemeClr w14:val="tx1"/>
                  </w14:solidFill>
                </w14:textFill>
              </w:rPr>
              <w:t>偏离说明</w:t>
            </w:r>
            <w:bookmarkEnd w:id="261"/>
            <w:bookmarkEnd w:id="262"/>
            <w:bookmarkEnd w:id="26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3179"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434"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c>
          <w:tcPr>
            <w:tcW w:w="2355" w:type="dxa"/>
            <w:noWrap w:val="0"/>
            <w:vAlign w:val="center"/>
          </w:tcPr>
          <w:p>
            <w:pPr>
              <w:tabs>
                <w:tab w:val="left" w:pos="6300"/>
              </w:tabs>
              <w:snapToGrid w:val="0"/>
              <w:spacing w:line="360" w:lineRule="auto"/>
              <w:jc w:val="center"/>
              <w:outlineLvl w:val="0"/>
              <w:rPr>
                <w:rFonts w:hint="eastAsia" w:ascii="宋体" w:hAnsi="宋体" w:eastAsia="宋体" w:cs="宋体"/>
                <w:color w:val="000000" w:themeColor="text1"/>
                <w:sz w:val="24"/>
                <w:szCs w:val="24"/>
                <w14:textFill>
                  <w14:solidFill>
                    <w14:schemeClr w14:val="tx1"/>
                  </w14:solidFill>
                </w14:textFill>
              </w:rPr>
            </w:pPr>
          </w:p>
        </w:tc>
      </w:tr>
    </w:tbl>
    <w:p>
      <w:pPr>
        <w:snapToGrid w:val="0"/>
        <w:spacing w:line="360" w:lineRule="auto"/>
        <w:ind w:firstLine="465"/>
        <w:rPr>
          <w:rFonts w:hint="eastAsia" w:ascii="宋体" w:hAnsi="宋体" w:eastAsia="宋体" w:cs="宋体"/>
          <w:color w:val="000000" w:themeColor="text1"/>
          <w:sz w:val="24"/>
          <w:szCs w:val="24"/>
          <w14:textFill>
            <w14:solidFill>
              <w14:schemeClr w14:val="tx1"/>
            </w14:solidFill>
          </w14:textFill>
        </w:rPr>
      </w:pPr>
    </w:p>
    <w:p>
      <w:pPr>
        <w:spacing w:line="500" w:lineRule="exact"/>
        <w:ind w:firstLine="600" w:firstLineChars="2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                                      法定代表人授权代表：</w:t>
      </w:r>
    </w:p>
    <w:p>
      <w:pPr>
        <w:spacing w:line="500" w:lineRule="exac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spacing w:line="500" w:lineRule="exact"/>
        <w:ind w:firstLine="360" w:firstLineChars="15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（供应商公章）                                 （签字或盖章）</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年     月     日</w:t>
      </w: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w:t>
      </w: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本表即为对本项目“第四篇 谈判项目</w:t>
      </w:r>
      <w:r>
        <w:rPr>
          <w:rFonts w:hint="eastAsia" w:ascii="宋体" w:hAnsi="宋体" w:eastAsia="宋体" w:cs="宋体"/>
          <w:color w:val="000000" w:themeColor="text1"/>
          <w:sz w:val="24"/>
          <w:szCs w:val="24"/>
          <w:lang w:eastAsia="zh-CN"/>
          <w14:textFill>
            <w14:solidFill>
              <w14:schemeClr w14:val="tx1"/>
            </w14:solidFill>
          </w14:textFill>
        </w:rPr>
        <w:t>商务</w:t>
      </w:r>
      <w:r>
        <w:rPr>
          <w:rFonts w:hint="eastAsia" w:ascii="宋体" w:hAnsi="宋体" w:eastAsia="宋体" w:cs="宋体"/>
          <w:color w:val="000000" w:themeColor="text1"/>
          <w:sz w:val="24"/>
          <w:szCs w:val="24"/>
          <w14:textFill>
            <w14:solidFill>
              <w14:schemeClr w14:val="tx1"/>
            </w14:solidFill>
          </w14:textFill>
        </w:rPr>
        <w:t>需求”中所列服务要求进行比较和响应；</w:t>
      </w: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该表必须按照竞争性谈判要求逐条如实填写，根据响应情况在“差异说明”项填写正偏离或负偏离及原因，完全符合的填写“无差异”；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宋体" w:hAnsi="宋体" w:eastAsia="宋体" w:cs="宋体"/>
          <w:color w:val="000000" w:themeColor="text1"/>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该表可</w:t>
      </w:r>
      <w:r>
        <w:rPr>
          <w:rFonts w:hint="eastAsia" w:ascii="宋体" w:hAnsi="宋体" w:eastAsia="宋体" w:cs="宋体"/>
          <w:color w:val="000000" w:themeColor="text1"/>
          <w:sz w:val="24"/>
          <w:szCs w:val="24"/>
          <w:lang w:eastAsia="zh-CN"/>
          <w14:textFill>
            <w14:solidFill>
              <w14:schemeClr w14:val="tx1"/>
            </w14:solidFill>
          </w14:textFill>
        </w:rPr>
        <w:t>纵向</w:t>
      </w:r>
      <w:r>
        <w:rPr>
          <w:rFonts w:hint="eastAsia" w:ascii="宋体" w:hAnsi="宋体" w:eastAsia="宋体" w:cs="宋体"/>
          <w:color w:val="000000" w:themeColor="text1"/>
          <w:sz w:val="24"/>
          <w:szCs w:val="24"/>
          <w14:textFill>
            <w14:solidFill>
              <w14:schemeClr w14:val="tx1"/>
            </w14:solidFill>
          </w14:textFill>
        </w:rPr>
        <w:t>扩展，并逐页签字或盖章</w:t>
      </w:r>
      <w:r>
        <w:rPr>
          <w:rFonts w:hint="eastAsia" w:ascii="宋体" w:hAnsi="宋体" w:eastAsia="宋体" w:cs="宋体"/>
          <w:color w:val="000000" w:themeColor="text1"/>
          <w:sz w:val="24"/>
          <w:szCs w:val="24"/>
          <w:lang w:eastAsia="zh-CN"/>
          <w14:textFill>
            <w14:solidFill>
              <w14:schemeClr w14:val="tx1"/>
            </w14:solidFill>
          </w14:textFill>
        </w:rPr>
        <w:t>；</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r>
        <w:rPr>
          <w:rFonts w:hint="eastAsia" w:ascii="宋体" w:hAnsi="宋体" w:eastAsia="宋体" w:cs="宋体"/>
          <w:color w:val="000000" w:themeColor="text1"/>
          <w:sz w:val="24"/>
          <w:szCs w:val="24"/>
          <w14:textFill>
            <w14:solidFill>
              <w14:schemeClr w14:val="tx1"/>
            </w14:solidFill>
          </w14:textFill>
        </w:rPr>
        <w:t>（三）其它优惠承诺（格式自定）</w:t>
      </w: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bookmarkEnd w:id="230"/>
    <w:bookmarkEnd w:id="231"/>
    <w:bookmarkEnd w:id="232"/>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宋体" w:hAnsi="宋体" w:eastAsia="宋体" w:cs="宋体"/>
          <w:color w:val="000000" w:themeColor="text1"/>
          <w:sz w:val="24"/>
          <w:szCs w:val="24"/>
          <w14:textFill>
            <w14:solidFill>
              <w14:schemeClr w14:val="tx1"/>
            </w14:solidFill>
          </w14:textFill>
        </w:rPr>
      </w:pPr>
      <w:bookmarkStart w:id="264" w:name="_Toc313008359"/>
      <w:bookmarkStart w:id="265" w:name="_Toc342913422"/>
      <w:bookmarkStart w:id="266" w:name="_Toc313888363"/>
      <w:bookmarkStart w:id="267" w:name="_Toc44682711"/>
      <w:bookmarkStart w:id="268" w:name="_Toc27935"/>
      <w:r>
        <w:rPr>
          <w:rFonts w:hint="eastAsia" w:ascii="宋体" w:hAnsi="宋体" w:eastAsia="宋体" w:cs="宋体"/>
          <w:color w:val="000000" w:themeColor="text1"/>
          <w:sz w:val="24"/>
          <w:szCs w:val="24"/>
          <w14:textFill>
            <w14:solidFill>
              <w14:schemeClr w14:val="tx1"/>
            </w14:solidFill>
          </w14:textFill>
        </w:rPr>
        <w:t>四、资格条件及其他</w:t>
      </w:r>
      <w:bookmarkEnd w:id="264"/>
      <w:bookmarkEnd w:id="265"/>
      <w:bookmarkEnd w:id="266"/>
      <w:bookmarkEnd w:id="267"/>
      <w:bookmarkEnd w:id="268"/>
    </w:p>
    <w:p>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（一）营业执照（副本）或事业单位法人证书（副本）复印件</w:t>
      </w:r>
    </w:p>
    <w:p>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（二）组织机构代码证复印件</w:t>
      </w:r>
    </w:p>
    <w:p>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说明：供应商按“多证合一”登记制度办理营业执照的，</w:t>
      </w:r>
      <w:r>
        <w:rPr>
          <w:rFonts w:hint="eastAsia" w:ascii="宋体" w:hAnsi="宋体" w:eastAsia="宋体" w:cs="宋体"/>
          <w:color w:val="000000" w:themeColor="text1"/>
          <w:kern w:val="0"/>
          <w:sz w:val="24"/>
          <w:szCs w:val="24"/>
          <w14:textFill>
            <w14:solidFill>
              <w14:schemeClr w14:val="tx1"/>
            </w14:solidFill>
          </w14:textFill>
        </w:rPr>
        <w:t>组织机构代码证、税务登记证（副本）和社会保险登记证</w:t>
      </w:r>
      <w:r>
        <w:rPr>
          <w:rFonts w:hint="eastAsia" w:ascii="宋体" w:hAnsi="宋体" w:eastAsia="宋体" w:cs="宋体"/>
          <w:color w:val="000000" w:themeColor="text1"/>
          <w:sz w:val="24"/>
          <w:szCs w:val="24"/>
          <w14:textFill>
            <w14:solidFill>
              <w14:schemeClr w14:val="tx1"/>
            </w14:solidFill>
          </w14:textFill>
        </w:rPr>
        <w:t>以供应商所提供的营业执照（副本）复印件为准。</w:t>
      </w:r>
    </w:p>
    <w:p>
      <w:pPr>
        <w:tabs>
          <w:tab w:val="left" w:pos="6300"/>
        </w:tabs>
        <w:snapToGrid w:val="0"/>
        <w:spacing w:line="500" w:lineRule="exact"/>
        <w:ind w:firstLine="570"/>
        <w:jc w:val="left"/>
        <w:rPr>
          <w:rFonts w:hint="eastAsia" w:ascii="宋体" w:hAnsi="宋体" w:eastAsia="宋体" w:cs="宋体"/>
          <w:color w:val="000000" w:themeColor="text1"/>
          <w:sz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14:textFill>
            <w14:solidFill>
              <w14:schemeClr w14:val="tx1"/>
            </w14:solidFill>
          </w14:textFill>
        </w:rPr>
      </w:pPr>
    </w:p>
    <w:p>
      <w:pPr>
        <w:widowControl/>
        <w:ind w:firstLine="560" w:firstLineChars="20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page"/>
      </w:r>
      <w:r>
        <w:rPr>
          <w:rFonts w:hint="eastAsia" w:ascii="宋体" w:hAnsi="宋体" w:eastAsia="宋体" w:cs="宋体"/>
          <w:color w:val="000000" w:themeColor="text1"/>
          <w:sz w:val="24"/>
          <w:szCs w:val="24"/>
          <w14:textFill>
            <w14:solidFill>
              <w14:schemeClr w14:val="tx1"/>
            </w14:solidFill>
          </w14:textFill>
        </w:rPr>
        <w:t>（三）法定代表人身份证明书（格式）</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项目名称：</w:t>
      </w:r>
      <w:r>
        <w:rPr>
          <w:rFonts w:hint="eastAsia" w:ascii="宋体" w:hAnsi="宋体" w:eastAsia="宋体" w:cs="宋体"/>
          <w:color w:val="000000" w:themeColor="text1"/>
          <w:sz w:val="24"/>
          <w:szCs w:val="24"/>
          <w:u w:val="single"/>
          <w14:textFill>
            <w14:solidFill>
              <w14:schemeClr w14:val="tx1"/>
            </w14:solidFill>
          </w14:textFill>
        </w:rPr>
        <w:t xml:space="preserve">                                                </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（采购</w:t>
      </w:r>
      <w:r>
        <w:rPr>
          <w:rFonts w:hint="eastAsia" w:ascii="宋体" w:hAnsi="宋体" w:eastAsia="宋体" w:cs="宋体"/>
          <w:color w:val="000000" w:themeColor="text1"/>
          <w:sz w:val="24"/>
          <w:szCs w:val="24"/>
          <w:lang w:val="en-US" w:eastAsia="zh-CN"/>
          <w14:textFill>
            <w14:solidFill>
              <w14:schemeClr w14:val="tx1"/>
            </w14:solidFill>
          </w14:textFill>
        </w:rPr>
        <w:t>人</w:t>
      </w:r>
      <w:r>
        <w:rPr>
          <w:rFonts w:hint="eastAsia" w:ascii="宋体" w:hAnsi="宋体" w:eastAsia="宋体" w:cs="宋体"/>
          <w:color w:val="000000" w:themeColor="text1"/>
          <w:sz w:val="24"/>
          <w:szCs w:val="24"/>
          <w14:textFill>
            <w14:solidFill>
              <w14:schemeClr w14:val="tx1"/>
            </w14:solidFill>
          </w14:textFill>
        </w:rPr>
        <w:t>名称）：</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（法定代表人姓名）在</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（供应商名称）任</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（职务名称）职务，是（供应商名称）</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的法定代表人。</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特此证明。</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（供应商公章）</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年   月   日</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（附：法定代表人身份证正反面复印件）</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br w:type="column"/>
      </w:r>
      <w:r>
        <w:rPr>
          <w:rFonts w:hint="eastAsia" w:ascii="宋体" w:hAnsi="宋体" w:eastAsia="宋体" w:cs="宋体"/>
          <w:color w:val="000000" w:themeColor="text1"/>
          <w:sz w:val="24"/>
          <w:szCs w:val="24"/>
          <w14:textFill>
            <w14:solidFill>
              <w14:schemeClr w14:val="tx1"/>
            </w14:solidFill>
          </w14:textFill>
        </w:rPr>
        <w:t>（四）法定代表人授权委托书（格式）</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项目名称：</w:t>
      </w:r>
      <w:r>
        <w:rPr>
          <w:rFonts w:hint="eastAsia" w:ascii="宋体" w:hAnsi="宋体" w:eastAsia="宋体" w:cs="宋体"/>
          <w:color w:val="000000" w:themeColor="text1"/>
          <w:sz w:val="24"/>
          <w:szCs w:val="24"/>
          <w:u w:val="single"/>
          <w14:textFill>
            <w14:solidFill>
              <w14:schemeClr w14:val="tx1"/>
            </w14:solidFill>
          </w14:textFill>
        </w:rPr>
        <w:t xml:space="preserve">                                                </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（采购</w:t>
      </w:r>
      <w:r>
        <w:rPr>
          <w:rFonts w:hint="eastAsia" w:ascii="宋体" w:hAnsi="宋体" w:eastAsia="宋体" w:cs="宋体"/>
          <w:color w:val="000000" w:themeColor="text1"/>
          <w:sz w:val="24"/>
          <w:szCs w:val="24"/>
          <w:lang w:val="en-US" w:eastAsia="zh-CN"/>
          <w14:textFill>
            <w14:solidFill>
              <w14:schemeClr w14:val="tx1"/>
            </w14:solidFill>
          </w14:textFill>
        </w:rPr>
        <w:t>人</w:t>
      </w:r>
      <w:r>
        <w:rPr>
          <w:rFonts w:hint="eastAsia" w:ascii="宋体" w:hAnsi="宋体" w:eastAsia="宋体" w:cs="宋体"/>
          <w:color w:val="000000" w:themeColor="text1"/>
          <w:sz w:val="24"/>
          <w:szCs w:val="24"/>
          <w14:textFill>
            <w14:solidFill>
              <w14:schemeClr w14:val="tx1"/>
            </w14:solidFill>
          </w14:textFill>
        </w:rPr>
        <w:t>名称）：</w:t>
      </w: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（供应商法定代表人名称）是</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（供应商名称）的法定代表人，特授权</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（被授权人姓名及身份证代码）代表我单位全权办理上述项目的谈判、签约等具体工作，并签署全部有关文件、协议及合同。</w:t>
      </w: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被授权人：                                 供应商法定代表人：</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（签字或盖章）                                （签字或盖章）</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（附：被授权人身份证正反面复印件）</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right="480" w:firstLine="570"/>
        <w:jc w:val="righ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（供应商公章）</w:t>
      </w:r>
    </w:p>
    <w:p>
      <w:pPr>
        <w:tabs>
          <w:tab w:val="left" w:pos="6300"/>
        </w:tabs>
        <w:snapToGrid w:val="0"/>
        <w:spacing w:line="500" w:lineRule="exact"/>
        <w:ind w:right="480" w:firstLine="570"/>
        <w:jc w:val="righ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年   月   日</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w:t>
      </w:r>
    </w:p>
    <w:p>
      <w:pPr>
        <w:tabs>
          <w:tab w:val="left" w:pos="6300"/>
        </w:tabs>
        <w:snapToGrid w:val="0"/>
        <w:spacing w:line="500" w:lineRule="exact"/>
        <w:ind w:firstLine="57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若为法定代表人办理并签署</w:t>
      </w:r>
      <w:r>
        <w:rPr>
          <w:rFonts w:hint="eastAsia" w:ascii="宋体" w:hAnsi="宋体" w:eastAsia="宋体" w:cs="宋体"/>
          <w:color w:val="000000" w:themeColor="text1"/>
          <w:sz w:val="24"/>
          <w:szCs w:val="24"/>
          <w:lang w:eastAsia="zh-CN"/>
          <w14:textFill>
            <w14:solidFill>
              <w14:schemeClr w14:val="tx1"/>
            </w14:solidFill>
          </w14:textFill>
        </w:rPr>
        <w:t>响应</w:t>
      </w:r>
      <w:r>
        <w:rPr>
          <w:rFonts w:hint="eastAsia" w:ascii="宋体" w:hAnsi="宋体" w:eastAsia="宋体" w:cs="宋体"/>
          <w:color w:val="000000" w:themeColor="text1"/>
          <w:sz w:val="24"/>
          <w:szCs w:val="24"/>
          <w14:textFill>
            <w14:solidFill>
              <w14:schemeClr w14:val="tx1"/>
            </w14:solidFill>
          </w14:textFill>
        </w:rPr>
        <w:t>文件的，不提供此文件。</w:t>
      </w:r>
    </w:p>
    <w:p>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若为联合体</w:t>
      </w:r>
      <w:r>
        <w:rPr>
          <w:rFonts w:hint="eastAsia" w:ascii="宋体" w:hAnsi="宋体" w:eastAsia="宋体" w:cs="宋体"/>
          <w:color w:val="000000" w:themeColor="text1"/>
          <w:sz w:val="24"/>
          <w:szCs w:val="24"/>
          <w:lang w:eastAsia="zh-CN"/>
          <w14:textFill>
            <w14:solidFill>
              <w14:schemeClr w14:val="tx1"/>
            </w14:solidFill>
          </w14:textFill>
        </w:rPr>
        <w:t>谈判</w:t>
      </w:r>
      <w:r>
        <w:rPr>
          <w:rFonts w:hint="eastAsia" w:ascii="宋体" w:hAnsi="宋体" w:eastAsia="宋体" w:cs="宋体"/>
          <w:color w:val="000000" w:themeColor="text1"/>
          <w:sz w:val="24"/>
          <w:szCs w:val="24"/>
          <w14:textFill>
            <w14:solidFill>
              <w14:schemeClr w14:val="tx1"/>
            </w14:solidFill>
          </w14:textFill>
        </w:rPr>
        <w:t>的，法定代表人授权委托书由联合体主办方（主体）出具。</w:t>
      </w:r>
    </w:p>
    <w:p>
      <w:pP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（五）提供20</w:t>
      </w:r>
      <w:r>
        <w:rPr>
          <w:rFonts w:hint="eastAsia" w:ascii="宋体" w:hAnsi="宋体" w:eastAsia="宋体" w:cs="宋体"/>
          <w:color w:val="000000" w:themeColor="text1"/>
          <w:sz w:val="24"/>
          <w:szCs w:val="24"/>
          <w:lang w:val="en-US" w:eastAsia="zh-CN"/>
          <w14:textFill>
            <w14:solidFill>
              <w14:schemeClr w14:val="tx1"/>
            </w14:solidFill>
          </w14:textFill>
        </w:rPr>
        <w:t>20</w:t>
      </w:r>
      <w:r>
        <w:rPr>
          <w:rFonts w:hint="eastAsia" w:ascii="宋体" w:hAnsi="宋体" w:eastAsia="宋体" w:cs="宋体"/>
          <w:color w:val="000000" w:themeColor="text1"/>
          <w:sz w:val="24"/>
          <w:szCs w:val="24"/>
          <w14:textFill>
            <w14:solidFill>
              <w14:schemeClr w14:val="tx1"/>
            </w14:solidFill>
          </w14:textFill>
        </w:rPr>
        <w:t>年度财务状况报告（表）（表：资产负债表和损益表）复印件。本年度新成立或成立不满一年的组织提供响应截止时间前一个月的财务报告（表）复印件或可提供银行出具的资信证明复印件。自然人无法提供财务状况报告（表）的，可提供银行出具的资信证明复印件。</w:t>
      </w:r>
    </w:p>
    <w:p>
      <w:pPr>
        <w:tabs>
          <w:tab w:val="left" w:pos="6300"/>
        </w:tabs>
        <w:snapToGrid w:val="0"/>
        <w:spacing w:line="500" w:lineRule="exact"/>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500" w:lineRule="exact"/>
        <w:ind w:firstLine="560" w:firstLineChars="200"/>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570"/>
        <w:jc w:val="center"/>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3220" w:firstLineChars="115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（六）书面声明</w:t>
      </w:r>
    </w:p>
    <w:p>
      <w:pPr>
        <w:tabs>
          <w:tab w:val="left" w:pos="6300"/>
        </w:tabs>
        <w:snapToGrid w:val="0"/>
        <w:spacing w:line="500" w:lineRule="exact"/>
        <w:ind w:firstLine="570"/>
        <w:rPr>
          <w:rFonts w:hint="eastAsia" w:ascii="宋体" w:hAnsi="宋体" w:eastAsia="宋体" w:cs="宋体"/>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项目名称</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u w:val="single"/>
          <w14:textFill>
            <w14:solidFill>
              <w14:schemeClr w14:val="tx1"/>
            </w14:solidFill>
          </w14:textFill>
        </w:rPr>
        <w:t xml:space="preserve">                                                </w:t>
      </w:r>
    </w:p>
    <w:p>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（采购</w:t>
      </w:r>
      <w:r>
        <w:rPr>
          <w:rFonts w:hint="eastAsia" w:ascii="宋体" w:hAnsi="宋体" w:eastAsia="宋体" w:cs="宋体"/>
          <w:color w:val="000000" w:themeColor="text1"/>
          <w:sz w:val="24"/>
          <w:szCs w:val="24"/>
          <w:lang w:val="en-US" w:eastAsia="zh-CN"/>
          <w14:textFill>
            <w14:solidFill>
              <w14:schemeClr w14:val="tx1"/>
            </w14:solidFill>
          </w14:textFill>
        </w:rPr>
        <w:t>人</w:t>
      </w:r>
      <w:r>
        <w:rPr>
          <w:rFonts w:hint="eastAsia" w:ascii="宋体" w:hAnsi="宋体" w:eastAsia="宋体" w:cs="宋体"/>
          <w:color w:val="000000" w:themeColor="text1"/>
          <w:sz w:val="24"/>
          <w:szCs w:val="24"/>
          <w14:textFill>
            <w14:solidFill>
              <w14:schemeClr w14:val="tx1"/>
            </w14:solidFill>
          </w14:textFill>
        </w:rPr>
        <w:t>名称）：</w:t>
      </w:r>
    </w:p>
    <w:p>
      <w:pPr>
        <w:pStyle w:val="24"/>
        <w:spacing w:line="6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pPr>
        <w:tabs>
          <w:tab w:val="left" w:pos="6300"/>
        </w:tabs>
        <w:snapToGrid w:val="0"/>
        <w:spacing w:line="500" w:lineRule="exact"/>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w:t>
      </w: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特此声明。</w:t>
      </w:r>
    </w:p>
    <w:p>
      <w:pPr>
        <w:tabs>
          <w:tab w:val="left" w:pos="6300"/>
        </w:tabs>
        <w:snapToGrid w:val="0"/>
        <w:spacing w:line="360" w:lineRule="auto"/>
        <w:ind w:firstLine="57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right="424" w:firstLine="570"/>
        <w:jc w:val="righ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（供应商公章）</w:t>
      </w:r>
    </w:p>
    <w:p>
      <w:pPr>
        <w:tabs>
          <w:tab w:val="left" w:pos="6300"/>
        </w:tabs>
        <w:snapToGrid w:val="0"/>
        <w:spacing w:line="360" w:lineRule="auto"/>
        <w:ind w:right="480" w:firstLine="570"/>
        <w:jc w:val="righ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年   月   日</w:t>
      </w:r>
    </w:p>
    <w:p>
      <w:pPr>
        <w:tabs>
          <w:tab w:val="left" w:pos="6300"/>
        </w:tabs>
        <w:snapToGrid w:val="0"/>
        <w:spacing w:line="500" w:lineRule="exact"/>
        <w:ind w:right="480" w:firstLine="570"/>
        <w:jc w:val="right"/>
        <w:rPr>
          <w:rFonts w:hint="eastAsia" w:ascii="宋体" w:hAnsi="宋体" w:eastAsia="宋体" w:cs="宋体"/>
          <w:color w:val="000000" w:themeColor="text1"/>
          <w:sz w:val="24"/>
          <w14:textFill>
            <w14:solidFill>
              <w14:schemeClr w14:val="tx1"/>
            </w14:solidFill>
          </w14:textFill>
        </w:rPr>
      </w:pPr>
    </w:p>
    <w:p>
      <w:pPr>
        <w:tabs>
          <w:tab w:val="left" w:pos="6300"/>
        </w:tabs>
        <w:snapToGrid w:val="0"/>
        <w:spacing w:line="500" w:lineRule="exact"/>
        <w:ind w:firstLine="3780" w:firstLineChars="1350"/>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宋体" w:hAnsi="宋体" w:eastAsia="宋体" w:cs="宋体"/>
          <w:color w:val="000000" w:themeColor="text1"/>
          <w14:textFill>
            <w14:solidFill>
              <w14:schemeClr w14:val="tx1"/>
            </w14:solidFill>
          </w14:textFill>
        </w:rPr>
      </w:pPr>
    </w:p>
    <w:p>
      <w:pPr>
        <w:tabs>
          <w:tab w:val="left" w:pos="6300"/>
        </w:tabs>
        <w:snapToGrid w:val="0"/>
        <w:spacing w:line="500" w:lineRule="exact"/>
        <w:ind w:firstLine="3780" w:firstLineChars="1350"/>
        <w:rPr>
          <w:rFonts w:hint="eastAsia" w:ascii="宋体" w:hAnsi="宋体" w:eastAsia="宋体" w:cs="宋体"/>
          <w:color w:val="000000" w:themeColor="text1"/>
          <w14:textFill>
            <w14:solidFill>
              <w14:schemeClr w14:val="tx1"/>
            </w14:solidFill>
          </w14:textFill>
        </w:rPr>
      </w:pPr>
    </w:p>
    <w:p>
      <w:pPr>
        <w:numPr>
          <w:ilvl w:val="0"/>
          <w:numId w:val="10"/>
        </w:num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税务登记证（副本）复印件</w:t>
      </w:r>
    </w:p>
    <w:p>
      <w:pPr>
        <w:numPr>
          <w:ilvl w:val="0"/>
          <w:numId w:val="0"/>
        </w:numPr>
        <w:tabs>
          <w:tab w:val="left" w:pos="6300"/>
        </w:tabs>
        <w:snapToGrid w:val="0"/>
        <w:spacing w:line="360" w:lineRule="auto"/>
        <w:ind w:firstLine="720" w:firstLineChars="3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pStyle w:val="2"/>
        <w:rPr>
          <w:rFonts w:hint="eastAsia" w:ascii="宋体" w:hAnsi="宋体" w:eastAsia="宋体" w:cs="宋体"/>
          <w:color w:val="000000" w:themeColor="text1"/>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（八）缴纳社会保障金的证明材料复印件</w:t>
      </w: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pPr>
        <w:pStyle w:val="2"/>
        <w:rPr>
          <w:rFonts w:hint="eastAsia" w:ascii="宋体" w:hAnsi="宋体" w:eastAsia="宋体" w:cs="宋体"/>
          <w:color w:val="000000" w:themeColor="text1"/>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tabs>
          <w:tab w:val="left" w:pos="6300"/>
        </w:tabs>
        <w:snapToGrid w:val="0"/>
        <w:spacing w:line="360" w:lineRule="auto"/>
        <w:rPr>
          <w:rFonts w:hint="eastAsia" w:ascii="宋体" w:hAnsi="宋体" w:eastAsia="宋体" w:cs="宋体"/>
          <w:color w:val="000000" w:themeColor="text1"/>
          <w:sz w:val="24"/>
          <w:szCs w:val="24"/>
          <w14:textFill>
            <w14:solidFill>
              <w14:schemeClr w14:val="tx1"/>
            </w14:solidFill>
          </w14:textFill>
        </w:rPr>
      </w:pPr>
    </w:p>
    <w:p>
      <w:pPr>
        <w:rPr>
          <w:rFonts w:hint="eastAsia" w:ascii="宋体" w:hAnsi="宋体" w:eastAsia="宋体" w:cs="宋体"/>
          <w:color w:val="000000" w:themeColor="text1"/>
          <w:sz w:val="24"/>
          <w:szCs w:val="24"/>
          <w14:textFill>
            <w14:solidFill>
              <w14:schemeClr w14:val="tx1"/>
            </w14:solidFill>
          </w14:textFill>
        </w:rPr>
      </w:pPr>
      <w:bookmarkStart w:id="269" w:name="_Toc14422"/>
      <w:bookmarkStart w:id="270" w:name="_Toc44682712"/>
      <w:r>
        <w:rPr>
          <w:rFonts w:hint="eastAsia" w:ascii="宋体" w:hAnsi="宋体" w:eastAsia="宋体" w:cs="宋体"/>
          <w:color w:val="000000" w:themeColor="text1"/>
          <w:sz w:val="24"/>
          <w:szCs w:val="24"/>
          <w14:textFill>
            <w14:solidFill>
              <w14:schemeClr w14:val="tx1"/>
            </w14:solidFill>
          </w14:textFill>
        </w:rPr>
        <w:br w:type="page"/>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outlineLvl w:val="1"/>
        <w:rPr>
          <w:rFonts w:hint="eastAsia" w:ascii="宋体" w:hAnsi="宋体" w:eastAsia="宋体" w:cs="宋体"/>
          <w:color w:val="000000" w:themeColor="text1"/>
          <w:sz w:val="24"/>
          <w14:textFill>
            <w14:solidFill>
              <w14:schemeClr w14:val="tx1"/>
            </w14:solidFill>
          </w14:textFill>
        </w:rPr>
      </w:pPr>
      <w:bookmarkStart w:id="271" w:name="_Toc22056"/>
      <w:r>
        <w:rPr>
          <w:rFonts w:hint="eastAsia" w:ascii="宋体" w:hAnsi="宋体" w:eastAsia="宋体" w:cs="宋体"/>
          <w:color w:val="000000" w:themeColor="text1"/>
          <w:sz w:val="24"/>
          <w:szCs w:val="24"/>
          <w14:textFill>
            <w14:solidFill>
              <w14:schemeClr w14:val="tx1"/>
            </w14:solidFill>
          </w14:textFill>
        </w:rPr>
        <w:t>五、其他应提供的资料</w:t>
      </w:r>
      <w:bookmarkEnd w:id="269"/>
      <w:bookmarkEnd w:id="270"/>
      <w:bookmarkEnd w:id="271"/>
    </w:p>
    <w:p>
      <w:pPr>
        <w:tabs>
          <w:tab w:val="left" w:pos="6300"/>
        </w:tabs>
        <w:snapToGrid w:val="0"/>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（一）</w:t>
      </w:r>
      <w:r>
        <w:rPr>
          <w:rFonts w:hint="eastAsia" w:ascii="宋体" w:hAnsi="宋体" w:eastAsia="宋体" w:cs="宋体"/>
          <w:color w:val="000000" w:themeColor="text1"/>
          <w:sz w:val="24"/>
          <w:szCs w:val="24"/>
          <w14:textFill>
            <w14:solidFill>
              <w14:schemeClr w14:val="tx1"/>
            </w14:solidFill>
          </w14:textFill>
        </w:rPr>
        <w:t>中小微企业声明函、监狱企业证明文件、残疾人福利性单位声明函。</w:t>
      </w:r>
    </w:p>
    <w:p>
      <w:pPr>
        <w:spacing w:line="550" w:lineRule="exact"/>
        <w:rPr>
          <w:rFonts w:hint="eastAsia" w:ascii="宋体" w:hAnsi="宋体" w:eastAsia="宋体" w:cs="宋体"/>
          <w:color w:val="000000" w:themeColor="text1"/>
          <w:sz w:val="32"/>
          <w:szCs w:val="32"/>
          <w14:textFill>
            <w14:solidFill>
              <w14:schemeClr w14:val="tx1"/>
            </w14:solidFill>
          </w14:textFill>
        </w:rPr>
      </w:pPr>
      <w:bookmarkStart w:id="272" w:name="_Toc8000"/>
      <w:bookmarkStart w:id="273" w:name="_Toc25785"/>
      <w:bookmarkStart w:id="274" w:name="_Toc2718"/>
      <w:r>
        <w:rPr>
          <w:rFonts w:hint="eastAsia" w:ascii="宋体" w:hAnsi="宋体" w:eastAsia="宋体" w:cs="宋体"/>
          <w:color w:val="000000" w:themeColor="text1"/>
          <w:sz w:val="24"/>
          <w:szCs w:val="22"/>
          <w:lang w:val="en-US" w:eastAsia="zh-CN"/>
          <w14:textFill>
            <w14:solidFill>
              <w14:schemeClr w14:val="tx1"/>
            </w14:solidFill>
          </w14:textFill>
        </w:rPr>
        <w:t>1、中小微企业声明函</w:t>
      </w:r>
      <w:bookmarkEnd w:id="272"/>
      <w:bookmarkEnd w:id="273"/>
      <w:bookmarkEnd w:id="274"/>
    </w:p>
    <w:p>
      <w:pPr>
        <w:spacing w:line="550" w:lineRule="exact"/>
        <w:ind w:firstLine="720" w:firstLineChars="300"/>
        <w:jc w:val="left"/>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中小企业声明函（工程、服务）</w:t>
      </w:r>
    </w:p>
    <w:p>
      <w:pPr>
        <w:spacing w:line="550" w:lineRule="exact"/>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中小企业声明函（工程、服务）</w:t>
      </w:r>
    </w:p>
    <w:p>
      <w:pPr>
        <w:spacing w:line="550" w:lineRule="exact"/>
        <w:rPr>
          <w:rFonts w:hint="eastAsia" w:ascii="宋体" w:hAnsi="宋体" w:eastAsia="宋体" w:cs="宋体"/>
          <w:color w:val="000000" w:themeColor="text1"/>
          <w:sz w:val="32"/>
          <w14:textFill>
            <w14:solidFill>
              <w14:schemeClr w14:val="tx1"/>
            </w14:solidFill>
          </w14:textFill>
        </w:rPr>
      </w:pPr>
    </w:p>
    <w:p>
      <w:pPr>
        <w:spacing w:line="6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本公司（联合体）郑重声明，根据《政府采购促进中小企业发展管理办法》（财库【2020】46号）的规定，本公司（联合体）参加</w:t>
      </w:r>
      <w:r>
        <w:rPr>
          <w:rFonts w:hint="eastAsia" w:ascii="宋体" w:hAnsi="宋体" w:eastAsia="宋体" w:cs="宋体"/>
          <w:color w:val="000000" w:themeColor="text1"/>
          <w:sz w:val="24"/>
          <w:szCs w:val="24"/>
          <w:u w:val="single"/>
          <w14:textFill>
            <w14:solidFill>
              <w14:schemeClr w14:val="tx1"/>
            </w14:solidFill>
          </w14:textFill>
        </w:rPr>
        <w:t>（单位名称）</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color w:val="000000" w:themeColor="text1"/>
          <w:sz w:val="24"/>
          <w:szCs w:val="24"/>
          <w:u w:val="single"/>
          <w14:textFill>
            <w14:solidFill>
              <w14:schemeClr w14:val="tx1"/>
            </w14:solidFill>
          </w14:textFill>
        </w:rPr>
        <w:t>（项目名称）</w:t>
      </w:r>
      <w:r>
        <w:rPr>
          <w:rFonts w:hint="eastAsia" w:ascii="宋体" w:hAnsi="宋体" w:eastAsia="宋体" w:cs="宋体"/>
          <w:color w:val="000000" w:themeColor="text1"/>
          <w:sz w:val="24"/>
          <w:szCs w:val="24"/>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pPr>
        <w:spacing w:line="6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u w:val="single"/>
          <w14:textFill>
            <w14:solidFill>
              <w14:schemeClr w14:val="tx1"/>
            </w14:solidFill>
          </w14:textFill>
        </w:rPr>
        <w:t>（标的名称）</w:t>
      </w:r>
      <w:r>
        <w:rPr>
          <w:rFonts w:hint="eastAsia" w:ascii="宋体" w:hAnsi="宋体" w:eastAsia="宋体" w:cs="宋体"/>
          <w:color w:val="000000" w:themeColor="text1"/>
          <w:sz w:val="24"/>
          <w:szCs w:val="24"/>
          <w14:textFill>
            <w14:solidFill>
              <w14:schemeClr w14:val="tx1"/>
            </w14:solidFill>
          </w14:textFill>
        </w:rPr>
        <w:t>，属于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万元</w:t>
      </w:r>
      <w:r>
        <w:rPr>
          <w:rFonts w:hint="eastAsia" w:ascii="宋体" w:hAnsi="宋体" w:eastAsia="宋体" w:cs="宋体"/>
          <w:color w:val="000000" w:themeColor="text1"/>
          <w:sz w:val="24"/>
          <w:szCs w:val="24"/>
          <w:lang w:eastAsia="zh-CN"/>
          <w14:textFill>
            <w14:solidFill>
              <w14:schemeClr w14:val="tx1"/>
            </w14:solidFill>
          </w14:textFill>
        </w:rPr>
        <w:t>（注</w:t>
      </w:r>
      <w:r>
        <w:rPr>
          <w:rFonts w:hint="eastAsia" w:ascii="宋体" w:hAnsi="宋体" w:eastAsia="宋体" w:cs="宋体"/>
          <w:color w:val="000000" w:themeColor="text1"/>
          <w:spacing w:val="-1"/>
          <w:sz w:val="24"/>
          <w:szCs w:val="24"/>
          <w:vertAlign w:val="superscript"/>
          <w14:textFill>
            <w14:solidFill>
              <w14:schemeClr w14:val="tx1"/>
            </w14:solidFill>
          </w14:textFill>
        </w:rPr>
        <w:t>①</w:t>
      </w:r>
      <w:r>
        <w:rPr>
          <w:rFonts w:hint="eastAsia" w:ascii="宋体" w:hAnsi="宋体" w:eastAsia="宋体" w:cs="宋体"/>
          <w:color w:val="000000" w:themeColor="text1"/>
          <w:sz w:val="24"/>
          <w:szCs w:val="24"/>
          <w:u w:val="none"/>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，属于</w:t>
      </w:r>
      <w:r>
        <w:rPr>
          <w:rFonts w:hint="eastAsia" w:ascii="宋体" w:hAnsi="宋体" w:eastAsia="宋体" w:cs="宋体"/>
          <w:color w:val="000000" w:themeColor="text1"/>
          <w:sz w:val="24"/>
          <w:szCs w:val="24"/>
          <w:u w:val="single"/>
          <w14:textFill>
            <w14:solidFill>
              <w14:schemeClr w14:val="tx1"/>
            </w14:solidFill>
          </w14:textFill>
        </w:rPr>
        <w:t>（中型企业、小型企业、微型企业）</w:t>
      </w:r>
      <w:r>
        <w:rPr>
          <w:rFonts w:hint="eastAsia" w:ascii="宋体" w:hAnsi="宋体" w:eastAsia="宋体" w:cs="宋体"/>
          <w:color w:val="000000" w:themeColor="text1"/>
          <w:sz w:val="24"/>
          <w:szCs w:val="24"/>
          <w14:textFill>
            <w14:solidFill>
              <w14:schemeClr w14:val="tx1"/>
            </w14:solidFill>
          </w14:textFill>
        </w:rPr>
        <w:t>；</w:t>
      </w:r>
    </w:p>
    <w:p>
      <w:pPr>
        <w:spacing w:line="60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u w:val="single"/>
          <w14:textFill>
            <w14:solidFill>
              <w14:schemeClr w14:val="tx1"/>
            </w14:solidFill>
          </w14:textFill>
        </w:rPr>
        <w:t>（标的名称）</w:t>
      </w:r>
      <w:r>
        <w:rPr>
          <w:rFonts w:hint="eastAsia" w:ascii="宋体" w:hAnsi="宋体" w:eastAsia="宋体" w:cs="宋体"/>
          <w:color w:val="000000" w:themeColor="text1"/>
          <w:sz w:val="24"/>
          <w:szCs w:val="24"/>
          <w14:textFill>
            <w14:solidFill>
              <w14:schemeClr w14:val="tx1"/>
            </w14:solidFill>
          </w14:textFill>
        </w:rPr>
        <w:t>，属于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万元，属于</w:t>
      </w:r>
      <w:r>
        <w:rPr>
          <w:rFonts w:hint="eastAsia" w:ascii="宋体" w:hAnsi="宋体" w:eastAsia="宋体" w:cs="宋体"/>
          <w:color w:val="000000" w:themeColor="text1"/>
          <w:sz w:val="24"/>
          <w:szCs w:val="24"/>
          <w:u w:val="single"/>
          <w14:textFill>
            <w14:solidFill>
              <w14:schemeClr w14:val="tx1"/>
            </w14:solidFill>
          </w14:textFill>
        </w:rPr>
        <w:t>（中型企业、小型企业、微型企业）</w:t>
      </w:r>
      <w:r>
        <w:rPr>
          <w:rFonts w:hint="eastAsia" w:ascii="宋体" w:hAnsi="宋体" w:eastAsia="宋体" w:cs="宋体"/>
          <w:color w:val="000000" w:themeColor="text1"/>
          <w:sz w:val="24"/>
          <w:szCs w:val="24"/>
          <w14:textFill>
            <w14:solidFill>
              <w14:schemeClr w14:val="tx1"/>
            </w14:solidFill>
          </w14:textFill>
        </w:rPr>
        <w:t>；</w:t>
      </w:r>
    </w:p>
    <w:p>
      <w:pP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 ...</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 xml:space="preserve">    以上企业，不属于大企业的分支机构，不存在控股股东为大企业的情形，也不存在与大企业的负责人为同一人的情形。</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 xml:space="preserve">    本企业对上述声明内容的真实性负责。如有虚假，将依法承担相应责任。</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 xml:space="preserve">                                     企业名称(盖章):</w:t>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br w:type="textWrapping"/>
      </w:r>
      <w:r>
        <w:rPr>
          <w:rFonts w:hint="eastAsia" w:ascii="宋体" w:hAnsi="宋体" w:eastAsia="宋体" w:cs="宋体"/>
          <w:color w:val="000000" w:themeColor="text1"/>
          <w:sz w:val="24"/>
          <w:szCs w:val="24"/>
          <w14:textFill>
            <w14:solidFill>
              <w14:schemeClr w14:val="tx1"/>
            </w14:solidFill>
          </w14:textFill>
        </w:rPr>
        <w:t xml:space="preserve">                                               日期:</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275" w:name="_Toc18842"/>
      <w:r>
        <w:rPr>
          <w:rFonts w:hint="eastAsia" w:ascii="宋体" w:hAnsi="宋体" w:eastAsia="宋体" w:cs="宋体"/>
          <w:color w:val="000000" w:themeColor="text1"/>
          <w:sz w:val="24"/>
          <w:szCs w:val="24"/>
          <w:lang w:eastAsia="zh-CN"/>
          <w14:textFill>
            <w14:solidFill>
              <w14:schemeClr w14:val="tx1"/>
            </w14:solidFill>
          </w14:textFill>
        </w:rPr>
        <w:t>注</w:t>
      </w:r>
      <w:r>
        <w:rPr>
          <w:rFonts w:hint="eastAsia" w:ascii="宋体" w:hAnsi="宋体" w:eastAsia="宋体" w:cs="宋体"/>
          <w:color w:val="000000" w:themeColor="text1"/>
          <w:sz w:val="24"/>
          <w:szCs w:val="24"/>
          <w14:textFill>
            <w14:solidFill>
              <w14:schemeClr w14:val="tx1"/>
            </w14:solidFill>
          </w14:textFill>
        </w:rPr>
        <w:t>①</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从业人员、营业收入、资产总额填报上一年度数据，无上一年度数据的新成立企业可不填报。</w:t>
      </w:r>
      <w:r>
        <w:rPr>
          <w:rFonts w:hint="eastAsia" w:ascii="宋体" w:hAnsi="宋体" w:eastAsia="宋体" w:cs="宋体"/>
          <w:color w:val="000000" w:themeColor="text1"/>
          <w:sz w:val="24"/>
          <w:szCs w:val="24"/>
          <w14:textFill>
            <w14:solidFill>
              <w14:schemeClr w14:val="tx1"/>
            </w14:solidFill>
          </w14:textFill>
        </w:rPr>
        <w:br w:type="page"/>
      </w:r>
      <w:bookmarkEnd w:id="275"/>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276" w:name="_Toc32540"/>
      <w:bookmarkStart w:id="277" w:name="_Toc9520"/>
      <w:bookmarkStart w:id="278" w:name="_Toc6014"/>
      <w:r>
        <w:rPr>
          <w:rFonts w:hint="eastAsia" w:ascii="宋体" w:hAnsi="宋体" w:eastAsia="宋体" w:cs="宋体"/>
          <w:color w:val="000000" w:themeColor="text1"/>
          <w:sz w:val="24"/>
          <w:szCs w:val="24"/>
          <w14:textFill>
            <w14:solidFill>
              <w14:schemeClr w14:val="tx1"/>
            </w14:solidFill>
          </w14:textFill>
        </w:rPr>
        <w:t>《中小企业声明函》填写时应注意以下事项：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①从业人员、营业收入、资产总额填报上一年度数据，无上一年度数据的新成立企业可不填报。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②中小企业应当按照《中小企业划型标准规定》（工信部联企业〔2011〕300号），如实填写并提交《中小企业声明函》。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③投标人填写《中小企业声明函》中所属行业时，应与采购文件第一篇“采购标的对应的中小企业划分标准所属行业”中填写的所属行业一致。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注：各行业划型标准：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1）农、林、牧、渔业。营业收入20000万元以下的为中小微型企业。其中，营业收入500万元及以上的为中型企业，营业收入50万元及以上的为小型企业，营业收入50万元以下的为微型企业。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15）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16）其他未列明行业。从业人员300人以下的为中小微型企业。其中，从业人员100人及以上的为中型企业；从业人员10人及以上的为小型企业；从业人员10人以下的为微型企业。</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监狱企业证明文件</w:t>
      </w:r>
      <w:bookmarkEnd w:id="276"/>
      <w:bookmarkEnd w:id="277"/>
      <w:bookmarkEnd w:id="27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279" w:name="_Toc7980"/>
      <w:bookmarkStart w:id="280" w:name="_Toc11488"/>
      <w:bookmarkStart w:id="281" w:name="_Toc7029"/>
      <w:r>
        <w:rPr>
          <w:rFonts w:hint="eastAsia" w:ascii="宋体" w:hAnsi="宋体" w:eastAsia="宋体" w:cs="宋体"/>
          <w:color w:val="000000" w:themeColor="text1"/>
          <w:sz w:val="24"/>
          <w:szCs w:val="24"/>
          <w14:textFill>
            <w14:solidFill>
              <w14:schemeClr w14:val="tx1"/>
            </w14:solidFill>
          </w14:textFill>
        </w:rPr>
        <w:t>以省级以上监狱管理局、戒毒管理局（含新疆生产建设兵团）出具的属于监狱企业的证明文件为准。（非监狱企业不提供）</w:t>
      </w:r>
      <w:r>
        <w:rPr>
          <w:rFonts w:hint="eastAsia" w:ascii="宋体" w:hAnsi="宋体" w:eastAsia="宋体" w:cs="宋体"/>
          <w:color w:val="000000" w:themeColor="text1"/>
          <w:sz w:val="24"/>
          <w:szCs w:val="24"/>
          <w14:textFill>
            <w14:solidFill>
              <w14:schemeClr w14:val="tx1"/>
            </w14:solidFill>
          </w14:textFill>
        </w:rPr>
        <w:br w:type="page"/>
      </w:r>
      <w:r>
        <w:rPr>
          <w:rFonts w:hint="eastAsia" w:ascii="宋体" w:hAnsi="宋体" w:eastAsia="宋体" w:cs="宋体"/>
          <w:color w:val="000000" w:themeColor="text1"/>
          <w:lang w:val="en-US" w:eastAsia="zh-CN"/>
          <w14:textFill>
            <w14:solidFill>
              <w14:schemeClr w14:val="tx1"/>
            </w14:solidFill>
          </w14:textFill>
        </w:rPr>
        <w:t xml:space="preserve">  </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3</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残疾人福利性单位声明函</w:t>
      </w:r>
      <w:bookmarkEnd w:id="279"/>
      <w:bookmarkEnd w:id="280"/>
      <w:bookmarkEnd w:id="281"/>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282" w:name="_Toc6275"/>
      <w:bookmarkStart w:id="283" w:name="_Toc17405"/>
      <w:bookmarkStart w:id="284" w:name="_Toc9397"/>
      <w:r>
        <w:rPr>
          <w:rFonts w:hint="eastAsia" w:ascii="宋体" w:hAnsi="宋体" w:eastAsia="宋体" w:cs="宋体"/>
          <w:color w:val="000000" w:themeColor="text1"/>
          <w:sz w:val="24"/>
          <w:szCs w:val="24"/>
          <w14:textFill>
            <w14:solidFill>
              <w14:schemeClr w14:val="tx1"/>
            </w14:solidFill>
          </w14:textFill>
        </w:rPr>
        <w:t>残疾人福利性单位声明函</w:t>
      </w:r>
      <w:bookmarkEnd w:id="282"/>
      <w:bookmarkEnd w:id="283"/>
      <w:bookmarkEnd w:id="284"/>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285" w:name="_Toc1485"/>
      <w:bookmarkStart w:id="286" w:name="_Toc29982"/>
      <w:bookmarkStart w:id="287" w:name="_Toc29752"/>
      <w:r>
        <w:rPr>
          <w:rFonts w:hint="eastAsia" w:ascii="宋体" w:hAnsi="宋体" w:eastAsia="宋体" w:cs="宋体"/>
          <w:color w:val="000000" w:themeColor="text1"/>
          <w:sz w:val="24"/>
          <w:szCs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285"/>
      <w:bookmarkEnd w:id="286"/>
      <w:bookmarkEnd w:id="287"/>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bookmarkStart w:id="288" w:name="_Toc21165"/>
      <w:bookmarkStart w:id="289" w:name="_Toc14142"/>
      <w:bookmarkStart w:id="290" w:name="_Toc30109"/>
      <w:r>
        <w:rPr>
          <w:rFonts w:hint="eastAsia" w:ascii="宋体" w:hAnsi="宋体" w:eastAsia="宋体" w:cs="宋体"/>
          <w:color w:val="000000" w:themeColor="text1"/>
          <w:sz w:val="24"/>
          <w:szCs w:val="24"/>
          <w14:textFill>
            <w14:solidFill>
              <w14:schemeClr w14:val="tx1"/>
            </w14:solidFill>
          </w14:textFill>
        </w:rPr>
        <w:t>本单位对上述声明的真实性负责。如有虚假，将依法承担相应责任。（非残疾人福利性单位不提供）</w:t>
      </w:r>
      <w:bookmarkEnd w:id="288"/>
      <w:bookmarkEnd w:id="289"/>
      <w:bookmarkEnd w:id="290"/>
    </w:p>
    <w:p>
      <w:pPr>
        <w:tabs>
          <w:tab w:val="left" w:pos="6300"/>
        </w:tabs>
        <w:snapToGrid w:val="0"/>
        <w:spacing w:line="500" w:lineRule="exact"/>
        <w:ind w:firstLine="480" w:firstLineChars="200"/>
        <w:outlineLvl w:val="0"/>
        <w:rPr>
          <w:rFonts w:hint="eastAsia" w:ascii="宋体" w:hAnsi="宋体" w:eastAsia="宋体" w:cs="宋体"/>
          <w:color w:val="000000" w:themeColor="text1"/>
          <w:sz w:val="24"/>
          <w14:textFill>
            <w14:solidFill>
              <w14:schemeClr w14:val="tx1"/>
            </w14:solidFill>
          </w14:textFill>
        </w:rPr>
      </w:pPr>
    </w:p>
    <w:p>
      <w:pPr>
        <w:tabs>
          <w:tab w:val="left" w:pos="6300"/>
        </w:tabs>
        <w:snapToGrid w:val="0"/>
        <w:spacing w:line="500" w:lineRule="exact"/>
        <w:ind w:firstLine="480" w:firstLineChars="200"/>
        <w:outlineLvl w:val="0"/>
        <w:rPr>
          <w:rFonts w:hint="eastAsia" w:ascii="宋体" w:hAnsi="宋体" w:eastAsia="宋体" w:cs="宋体"/>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w:t>
      </w:r>
      <w:bookmarkStart w:id="291" w:name="_Toc8914"/>
      <w:bookmarkStart w:id="292" w:name="_Toc3009"/>
      <w:bookmarkStart w:id="293" w:name="_Toc12102"/>
      <w:r>
        <w:rPr>
          <w:rFonts w:hint="eastAsia" w:ascii="宋体" w:hAnsi="宋体" w:eastAsia="宋体" w:cs="宋体"/>
          <w:color w:val="000000" w:themeColor="text1"/>
          <w:sz w:val="24"/>
          <w:szCs w:val="24"/>
          <w14:textFill>
            <w14:solidFill>
              <w14:schemeClr w14:val="tx1"/>
            </w14:solidFill>
          </w14:textFill>
        </w:rPr>
        <w:t>供应商名称（盖章）：</w:t>
      </w:r>
      <w:bookmarkEnd w:id="291"/>
      <w:bookmarkEnd w:id="292"/>
      <w:bookmarkEnd w:id="293"/>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bookmarkStart w:id="294" w:name="_Toc3879"/>
      <w:bookmarkStart w:id="295" w:name="_Toc17269"/>
      <w:bookmarkStart w:id="296" w:name="_Toc10137"/>
      <w:r>
        <w:rPr>
          <w:rFonts w:hint="eastAsia" w:ascii="宋体" w:hAnsi="宋体" w:eastAsia="宋体" w:cs="宋体"/>
          <w:color w:val="000000" w:themeColor="text1"/>
          <w:sz w:val="24"/>
          <w:szCs w:val="24"/>
          <w14:textFill>
            <w14:solidFill>
              <w14:schemeClr w14:val="tx1"/>
            </w14:solidFill>
          </w14:textFill>
        </w:rPr>
        <w:t>日  期：</w:t>
      </w:r>
      <w:bookmarkEnd w:id="294"/>
      <w:bookmarkEnd w:id="295"/>
      <w:bookmarkEnd w:id="296"/>
    </w:p>
    <w:p>
      <w:pPr>
        <w:spacing w:line="550" w:lineRule="exact"/>
        <w:jc w:val="both"/>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（二）</w:t>
      </w:r>
      <w:r>
        <w:rPr>
          <w:rFonts w:hint="eastAsia" w:ascii="宋体" w:hAnsi="宋体" w:eastAsia="宋体" w:cs="宋体"/>
          <w:color w:val="000000" w:themeColor="text1"/>
          <w:sz w:val="24"/>
          <w:szCs w:val="24"/>
          <w14:textFill>
            <w14:solidFill>
              <w14:schemeClr w14:val="tx1"/>
            </w14:solidFill>
          </w14:textFill>
        </w:rPr>
        <w:t>其他资料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保证金缴纳证明材料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其他与项目有关的资料（自附）：供应商总体情况介绍、其他与本项目有关的资料等。</w:t>
      </w:r>
    </w:p>
    <w:p>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rPr>
          <w:rFonts w:hint="eastAsia" w:ascii="宋体" w:hAnsi="宋体" w:eastAsia="宋体" w:cs="宋体"/>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jc w:val="center"/>
        <w:rPr>
          <w:rFonts w:hint="eastAsia" w:ascii="宋体" w:hAnsi="宋体" w:eastAsia="宋体" w:cs="宋体"/>
          <w:color w:val="000000" w:themeColor="text1"/>
          <w:sz w:val="24"/>
          <w:szCs w:val="24"/>
          <w14:textFill>
            <w14:solidFill>
              <w14:schemeClr w14:val="tx1"/>
            </w14:solidFill>
          </w14:textFill>
        </w:rPr>
      </w:pPr>
    </w:p>
    <w:p>
      <w:pPr>
        <w:spacing w:line="360" w:lineRule="auto"/>
        <w:ind w:firstLine="480" w:firstLineChars="200"/>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（结</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束）</w:t>
      </w:r>
    </w:p>
    <w:p>
      <w:pPr>
        <w:tabs>
          <w:tab w:val="left" w:pos="6300"/>
        </w:tabs>
        <w:snapToGrid w:val="0"/>
        <w:spacing w:line="360" w:lineRule="auto"/>
        <w:rPr>
          <w:rFonts w:hint="eastAsia" w:ascii="宋体" w:hAnsi="宋体" w:eastAsia="宋体" w:cs="宋体"/>
          <w:color w:val="000000" w:themeColor="text1"/>
          <w:sz w:val="24"/>
          <w:szCs w:val="24"/>
          <w14:textFill>
            <w14:solidFill>
              <w14:schemeClr w14:val="tx1"/>
            </w14:solidFill>
          </w14:textFill>
        </w:rPr>
      </w:pPr>
    </w:p>
    <w:p>
      <w:pPr>
        <w:spacing w:line="400" w:lineRule="exact"/>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p>
    <w:p>
      <w:pPr>
        <w:spacing w:line="400" w:lineRule="exact"/>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p>
    <w:bookmarkEnd w:id="191"/>
    <w:bookmarkEnd w:id="192"/>
    <w:bookmarkEnd w:id="193"/>
    <w:bookmarkEnd w:id="194"/>
    <w:bookmarkEnd w:id="195"/>
    <w:bookmarkEnd w:id="196"/>
    <w:bookmarkEnd w:id="197"/>
    <w:p>
      <w:pPr>
        <w:spacing w:line="400" w:lineRule="exact"/>
        <w:ind w:firstLine="560" w:firstLineChars="200"/>
        <w:jc w:val="center"/>
        <w:rPr>
          <w:rFonts w:hint="eastAsia" w:ascii="宋体" w:hAnsi="宋体" w:eastAsia="宋体" w:cs="宋体"/>
          <w:color w:val="000000" w:themeColor="text1"/>
          <w14:textFill>
            <w14:solidFill>
              <w14:schemeClr w14:val="tx1"/>
            </w14:solidFill>
          </w14:textFill>
        </w:rPr>
      </w:pPr>
    </w:p>
    <w:p>
      <w:pPr>
        <w:rPr>
          <w:rFonts w:hint="eastAsia" w:ascii="宋体" w:hAnsi="宋体" w:eastAsia="宋体" w:cs="宋体"/>
          <w:color w:val="000000" w:themeColor="text1"/>
          <w14:textFill>
            <w14:solidFill>
              <w14:schemeClr w14:val="tx1"/>
            </w14:solidFill>
          </w14:textFill>
        </w:rPr>
      </w:pPr>
    </w:p>
    <w:sectPr>
      <w:headerReference r:id="rId10" w:type="default"/>
      <w:footerReference r:id="rId11" w:type="default"/>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2FA067C-C5C0-41D8-B9DD-A2BE57476CE5}"/>
  </w:font>
  <w:font w:name="Arial">
    <w:panose1 w:val="020B0604020202020204"/>
    <w:charset w:val="01"/>
    <w:family w:val="swiss"/>
    <w:pitch w:val="default"/>
    <w:sig w:usb0="E0002AFF" w:usb1="C0007843" w:usb2="00000009" w:usb3="00000000" w:csb0="400001FF" w:csb1="FFFF0000"/>
    <w:embedRegular r:id="rId2" w:fontKey="{AB5840FE-2B38-41F3-8158-CABFEE34FFE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53E0B06D-AA76-4DE1-8EBA-F4DC07DA4487}"/>
  </w:font>
  <w:font w:name="Symbol">
    <w:panose1 w:val="05050102010706020507"/>
    <w:charset w:val="02"/>
    <w:family w:val="roman"/>
    <w:pitch w:val="default"/>
    <w:sig w:usb0="00000000" w:usb1="00000000" w:usb2="00000000" w:usb3="00000000" w:csb0="80000000" w:csb1="00000000"/>
    <w:embedRegular r:id="rId4" w:fontKey="{212D129E-89BC-4878-85A4-48CEA1F88D58}"/>
  </w:font>
  <w:font w:name="Calibri">
    <w:panose1 w:val="020F0502020204030204"/>
    <w:charset w:val="00"/>
    <w:family w:val="swiss"/>
    <w:pitch w:val="default"/>
    <w:sig w:usb0="E00002FF" w:usb1="4000ACFF" w:usb2="00000001" w:usb3="00000000" w:csb0="2000019F" w:csb1="00000000"/>
    <w:embedRegular r:id="rId5" w:fontKey="{2F014BA5-C914-4A38-B4FC-B3ABE8C21048}"/>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仿宋_GBK">
    <w:panose1 w:val="02000000000000000000"/>
    <w:charset w:val="86"/>
    <w:family w:val="script"/>
    <w:pitch w:val="default"/>
    <w:sig w:usb0="A00002BF" w:usb1="38CF7CFA" w:usb2="00082016" w:usb3="00000000" w:csb0="00040001" w:csb1="00000000"/>
    <w:embedRegular r:id="rId6" w:fontKey="{FB135AC6-86D8-4A69-A276-10077BF8C2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2240"/>
    </w:pPr>
  </w:p>
  <w:p>
    <w:pPr>
      <w:pStyle w:val="13"/>
      <w:tabs>
        <w:tab w:val="left" w:pos="5697"/>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224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- 3 -</w:t>
                    </w:r>
                    <w:r>
                      <w:fldChar w:fldCharType="end"/>
                    </w:r>
                  </w:p>
                </w:txbxContent>
              </v:textbox>
            </v:shape>
          </w:pict>
        </mc:Fallback>
      </mc:AlternateContent>
    </w:r>
  </w:p>
  <w:p>
    <w:pPr>
      <w:pStyle w:val="13"/>
      <w:tabs>
        <w:tab w:val="left" w:pos="5697"/>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posOffset>2854960</wp:posOffset>
              </wp:positionH>
              <wp:positionV relativeFrom="paragraph">
                <wp:posOffset>152400</wp:posOffset>
              </wp:positionV>
              <wp:extent cx="1828800" cy="13906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39065"/>
                      </a:xfrm>
                      <a:prstGeom prst="rect">
                        <a:avLst/>
                      </a:prstGeom>
                      <a:noFill/>
                      <a:ln w="15875">
                        <a:noFill/>
                      </a:ln>
                    </wps:spPr>
                    <wps:txbx>
                      <w:txbxContent>
                        <w:p>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- 16 -</w:t>
                          </w:r>
                          <w:r>
                            <w:rPr>
                              <w:rFonts w:hint="eastAsia"/>
                            </w:rPr>
                            <w:fldChar w:fldCharType="end"/>
                          </w:r>
                        </w:p>
                      </w:txbxContent>
                    </wps:txbx>
                    <wps:bodyPr wrap="none" lIns="0" tIns="0" rIns="0" bIns="0" upright="0"/>
                  </wps:wsp>
                </a:graphicData>
              </a:graphic>
            </wp:anchor>
          </w:drawing>
        </mc:Choice>
        <mc:Fallback>
          <w:pict>
            <v:shape id="_x0000_s1026" o:spid="_x0000_s1026" o:spt="202" type="#_x0000_t202" style="position:absolute;left:0pt;margin-left:224.8pt;margin-top:12pt;height:10.95pt;width:144pt;mso-position-horizontal-relative:margin;mso-wrap-style:none;z-index:251660288;mso-width-relative:page;mso-height-relative:page;" filled="f" stroked="f" coordsize="21600,21600" o:gfxdata="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xot5J1wAAAAkBAAAPAAAAAAAAAAEAIAAAACIAAABkcnMv&#10;ZG93bnJldi54bWxQSwECFAAUAAAACACHTuJAVLYZJssBAACIAwAADgAAAAAAAAABACAAAAAmAQAA&#10;ZHJzL2Uyb0RvYy54bWxQSwUGAAAAAAYABgBZAQAAYwUAAAAA&#10;">
              <v:fill on="f" focussize="0,0"/>
              <v:stroke on="f" weight="1.25pt"/>
              <v:imagedata o:title=""/>
              <o:lock v:ext="edit" aspectratio="f"/>
              <v:textbox inset="0mm,0mm,0mm,0mm">
                <w:txbxContent>
                  <w:p>
                    <w:pPr>
                      <w:pStyle w:val="13"/>
                      <w:rPr>
                        <w:rFonts w:hint="eastAsia"/>
                      </w:rPr>
                    </w:pPr>
                    <w:r>
                      <w:rPr>
                        <w:rFonts w:hint="eastAsia"/>
                      </w:rPr>
                      <w:fldChar w:fldCharType="begin"/>
                    </w:r>
                    <w:r>
                      <w:rPr>
                        <w:rFonts w:hint="eastAsia"/>
                      </w:rPr>
                      <w:instrText xml:space="preserve"> PAGE  \* MERGEFORMAT </w:instrText>
                    </w:r>
                    <w:r>
                      <w:rPr>
                        <w:rFonts w:hint="eastAsia"/>
                      </w:rPr>
                      <w:fldChar w:fldCharType="separate"/>
                    </w:r>
                    <w:r>
                      <w:t>- 16 -</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separate"/>
    </w:r>
    <w:r>
      <w:fldChar w:fldCharType="end"/>
    </w:r>
  </w:p>
  <w:p>
    <w:pPr>
      <w:pStyle w:val="1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rFonts w:ascii="宋体" w:hAnsi="宋体"/>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hint="eastAsia" w:ascii="方正仿宋_GBK" w:eastAsia="方正仿宋_GBK"/>
        <w:sz w:val="21"/>
        <w:szCs w:val="21"/>
      </w:rPr>
    </w:pPr>
    <w:r>
      <w:rPr>
        <w:rFonts w:ascii="方正仿宋_GBK" w:eastAsia="方正仿宋_GBK"/>
        <w:sz w:val="21"/>
        <w:szCs w:val="21"/>
      </w:rPr>
      <w:drawing>
        <wp:inline distT="0" distB="0" distL="114300" distR="114300">
          <wp:extent cx="559435" cy="321945"/>
          <wp:effectExtent l="0" t="0" r="12065" b="8255"/>
          <wp:docPr id="2" name="图片 1" descr="E:\公司文件及照片\照片\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公司文件及照片\照片\公司logo.jpg"/>
                  <pic:cNvPicPr>
                    <a:picLocks noChangeAspect="1"/>
                  </pic:cNvPicPr>
                </pic:nvPicPr>
                <pic:blipFill>
                  <a:blip r:embed="rId1"/>
                  <a:stretch>
                    <a:fillRect/>
                  </a:stretch>
                </pic:blipFill>
                <pic:spPr>
                  <a:xfrm>
                    <a:off x="0" y="0"/>
                    <a:ext cx="559435" cy="321945"/>
                  </a:xfrm>
                  <a:prstGeom prst="rect">
                    <a:avLst/>
                  </a:prstGeom>
                  <a:noFill/>
                  <a:ln>
                    <a:noFill/>
                  </a:ln>
                </pic:spPr>
              </pic:pic>
            </a:graphicData>
          </a:graphic>
        </wp:inline>
      </w:drawing>
    </w:r>
    <w:r>
      <w:rPr>
        <w:rFonts w:hint="eastAsia" w:ascii="方正仿宋_GBK" w:eastAsia="方正仿宋_GBK"/>
        <w:sz w:val="21"/>
        <w:szCs w:val="21"/>
      </w:rPr>
      <w:t xml:space="preserve"> </w:t>
    </w:r>
    <w:r>
      <w:rPr>
        <w:rFonts w:hint="eastAsia" w:ascii="宋体" w:hAnsi="宋体" w:eastAsia="宋体" w:cs="宋体"/>
        <w:sz w:val="21"/>
        <w:szCs w:val="21"/>
      </w:rPr>
      <w:t xml:space="preserve">重庆优佳工程招标代理有限公司                                竞争性谈判文件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hint="eastAsia"/>
      </w:rPr>
    </w:pPr>
    <w:r>
      <w:rPr>
        <w:rFonts w:ascii="方正仿宋_GBK" w:eastAsia="方正仿宋_GBK"/>
        <w:sz w:val="21"/>
        <w:szCs w:val="21"/>
      </w:rPr>
      <w:drawing>
        <wp:inline distT="0" distB="0" distL="114300" distR="114300">
          <wp:extent cx="559435" cy="321945"/>
          <wp:effectExtent l="0" t="0" r="12065" b="1905"/>
          <wp:docPr id="5" name="图片 1" descr="E:\公司文件及照片\照片\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E:\公司文件及照片\照片\公司logo.jpg"/>
                  <pic:cNvPicPr>
                    <a:picLocks noChangeAspect="1"/>
                  </pic:cNvPicPr>
                </pic:nvPicPr>
                <pic:blipFill>
                  <a:blip r:embed="rId1"/>
                  <a:stretch>
                    <a:fillRect/>
                  </a:stretch>
                </pic:blipFill>
                <pic:spPr>
                  <a:xfrm>
                    <a:off x="0" y="0"/>
                    <a:ext cx="559435" cy="321945"/>
                  </a:xfrm>
                  <a:prstGeom prst="rect">
                    <a:avLst/>
                  </a:prstGeom>
                  <a:noFill/>
                  <a:ln>
                    <a:noFill/>
                  </a:ln>
                </pic:spPr>
              </pic:pic>
            </a:graphicData>
          </a:graphic>
        </wp:inline>
      </w:drawing>
    </w:r>
    <w:r>
      <w:rPr>
        <w:rFonts w:hint="eastAsia" w:ascii="方正仿宋_GBK" w:eastAsia="方正仿宋_GBK"/>
        <w:sz w:val="21"/>
        <w:szCs w:val="21"/>
      </w:rPr>
      <w:t xml:space="preserve"> 重庆优佳工程招标代理有限公司     </w:t>
    </w:r>
    <w:r>
      <w:rPr>
        <w:rFonts w:hint="eastAsia" w:ascii="方正仿宋_GBK" w:eastAsia="方正仿宋_GBK"/>
        <w:sz w:val="21"/>
        <w:szCs w:val="21"/>
        <w:lang w:val="en-US" w:eastAsia="zh-CN"/>
      </w:rPr>
      <w:t xml:space="preserve">  </w:t>
    </w:r>
    <w:r>
      <w:rPr>
        <w:rFonts w:hint="eastAsia" w:ascii="方正仿宋_GBK" w:eastAsia="方正仿宋_GBK"/>
        <w:sz w:val="21"/>
        <w:szCs w:val="21"/>
      </w:rPr>
      <w:t xml:space="preserve">           </w:t>
    </w:r>
    <w:r>
      <w:rPr>
        <w:rFonts w:hint="eastAsia" w:ascii="方正仿宋_GBK" w:eastAsia="方正仿宋_GBK"/>
        <w:sz w:val="21"/>
        <w:szCs w:val="21"/>
        <w:lang w:val="en-US" w:eastAsia="zh-CN"/>
      </w:rPr>
      <w:t xml:space="preserve">    </w:t>
    </w:r>
    <w:r>
      <w:rPr>
        <w:rFonts w:hint="eastAsia" w:ascii="方正仿宋_GBK" w:eastAsia="方正仿宋_GBK"/>
        <w:sz w:val="21"/>
        <w:szCs w:val="21"/>
      </w:rPr>
      <w:t xml:space="preserve">                竞争性谈判文件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rFonts w:hint="eastAsia"/>
      </w:rPr>
    </w:pPr>
    <w:r>
      <w:rPr>
        <w:rFonts w:ascii="方正仿宋_GBK" w:eastAsia="方正仿宋_GBK"/>
        <w:sz w:val="21"/>
        <w:szCs w:val="21"/>
      </w:rPr>
      <w:drawing>
        <wp:inline distT="0" distB="0" distL="114300" distR="114300">
          <wp:extent cx="559435" cy="321945"/>
          <wp:effectExtent l="0" t="0" r="12065" b="8255"/>
          <wp:docPr id="6" name="图片 2" descr="E:\公司文件及照片\照片\公司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E:\公司文件及照片\照片\公司logo.jpg"/>
                  <pic:cNvPicPr>
                    <a:picLocks noChangeAspect="1"/>
                  </pic:cNvPicPr>
                </pic:nvPicPr>
                <pic:blipFill>
                  <a:blip r:embed="rId1"/>
                  <a:stretch>
                    <a:fillRect/>
                  </a:stretch>
                </pic:blipFill>
                <pic:spPr>
                  <a:xfrm>
                    <a:off x="0" y="0"/>
                    <a:ext cx="559435" cy="321945"/>
                  </a:xfrm>
                  <a:prstGeom prst="rect">
                    <a:avLst/>
                  </a:prstGeom>
                  <a:noFill/>
                  <a:ln>
                    <a:noFill/>
                  </a:ln>
                </pic:spPr>
              </pic:pic>
            </a:graphicData>
          </a:graphic>
        </wp:inline>
      </w:drawing>
    </w:r>
    <w:r>
      <w:rPr>
        <w:rFonts w:hint="eastAsia" w:ascii="方正仿宋_GBK" w:eastAsia="方正仿宋_GBK"/>
        <w:sz w:val="21"/>
        <w:szCs w:val="21"/>
      </w:rPr>
      <w:t xml:space="preserve"> </w:t>
    </w:r>
    <w:r>
      <w:rPr>
        <w:rFonts w:hint="eastAsia" w:ascii="宋体" w:hAnsi="宋体" w:eastAsia="宋体" w:cs="宋体"/>
        <w:sz w:val="21"/>
        <w:szCs w:val="21"/>
      </w:rPr>
      <w:t>重庆优佳工程招标代理有限公司                                  竞争性谈判文件</w:t>
    </w:r>
    <w:r>
      <w:rPr>
        <w:rFonts w:hint="eastAsia" w:ascii="方正仿宋_GBK" w:eastAsia="方正仿宋_GBK"/>
        <w:sz w:val="21"/>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3B1634"/>
    <w:multiLevelType w:val="singleLevel"/>
    <w:tmpl w:val="DF3B1634"/>
    <w:lvl w:ilvl="0" w:tentative="0">
      <w:start w:val="1"/>
      <w:numFmt w:val="decimal"/>
      <w:suff w:val="nothing"/>
      <w:lvlText w:val="%1、"/>
      <w:lvlJc w:val="left"/>
    </w:lvl>
  </w:abstractNum>
  <w:abstractNum w:abstractNumId="1">
    <w:nsid w:val="E371CF36"/>
    <w:multiLevelType w:val="singleLevel"/>
    <w:tmpl w:val="E371CF36"/>
    <w:lvl w:ilvl="0" w:tentative="0">
      <w:start w:val="1"/>
      <w:numFmt w:val="decimal"/>
      <w:suff w:val="nothing"/>
      <w:lvlText w:val="%1、"/>
      <w:lvlJc w:val="left"/>
    </w:lvl>
  </w:abstractNum>
  <w:abstractNum w:abstractNumId="2">
    <w:nsid w:val="F2771FA1"/>
    <w:multiLevelType w:val="singleLevel"/>
    <w:tmpl w:val="F2771FA1"/>
    <w:lvl w:ilvl="0" w:tentative="0">
      <w:start w:val="2"/>
      <w:numFmt w:val="chineseCounting"/>
      <w:suff w:val="nothing"/>
      <w:lvlText w:val="%1、"/>
      <w:lvlJc w:val="left"/>
      <w:rPr>
        <w:rFonts w:hint="eastAsia"/>
      </w:rPr>
    </w:lvl>
  </w:abstractNum>
  <w:abstractNum w:abstractNumId="3">
    <w:nsid w:val="F279AC78"/>
    <w:multiLevelType w:val="singleLevel"/>
    <w:tmpl w:val="F279AC78"/>
    <w:lvl w:ilvl="0" w:tentative="0">
      <w:start w:val="1"/>
      <w:numFmt w:val="decimal"/>
      <w:suff w:val="nothing"/>
      <w:lvlText w:val="%1、"/>
      <w:lvlJc w:val="left"/>
    </w:lvl>
  </w:abstractNum>
  <w:abstractNum w:abstractNumId="4">
    <w:nsid w:val="F80CE26A"/>
    <w:multiLevelType w:val="singleLevel"/>
    <w:tmpl w:val="F80CE26A"/>
    <w:lvl w:ilvl="0" w:tentative="0">
      <w:start w:val="3"/>
      <w:numFmt w:val="decimal"/>
      <w:suff w:val="nothing"/>
      <w:lvlText w:val="%1、"/>
      <w:lvlJc w:val="left"/>
    </w:lvl>
  </w:abstractNum>
  <w:abstractNum w:abstractNumId="5">
    <w:nsid w:val="F9C7ED0D"/>
    <w:multiLevelType w:val="singleLevel"/>
    <w:tmpl w:val="F9C7ED0D"/>
    <w:lvl w:ilvl="0" w:tentative="0">
      <w:start w:val="7"/>
      <w:numFmt w:val="chineseCounting"/>
      <w:suff w:val="nothing"/>
      <w:lvlText w:val="（%1）"/>
      <w:lvlJc w:val="left"/>
      <w:rPr>
        <w:rFonts w:hint="eastAsia"/>
      </w:rPr>
    </w:lvl>
  </w:abstractNum>
  <w:abstractNum w:abstractNumId="6">
    <w:nsid w:val="0000000C"/>
    <w:multiLevelType w:val="multilevel"/>
    <w:tmpl w:val="0000000C"/>
    <w:lvl w:ilvl="0" w:tentative="0">
      <w:start w:val="5"/>
      <w:numFmt w:val="japaneseCounting"/>
      <w:lvlText w:val="%1、"/>
      <w:lvlJc w:val="left"/>
      <w:pPr>
        <w:tabs>
          <w:tab w:val="left" w:pos="480"/>
        </w:tabs>
        <w:ind w:left="480" w:hanging="48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56E4D403"/>
    <w:multiLevelType w:val="singleLevel"/>
    <w:tmpl w:val="56E4D403"/>
    <w:lvl w:ilvl="0" w:tentative="0">
      <w:start w:val="1"/>
      <w:numFmt w:val="decimal"/>
      <w:lvlText w:val="%1."/>
      <w:lvlJc w:val="left"/>
      <w:pPr>
        <w:tabs>
          <w:tab w:val="left" w:pos="312"/>
        </w:tabs>
      </w:pPr>
    </w:lvl>
  </w:abstractNum>
  <w:abstractNum w:abstractNumId="9">
    <w:nsid w:val="5DAE9924"/>
    <w:multiLevelType w:val="singleLevel"/>
    <w:tmpl w:val="5DAE9924"/>
    <w:lvl w:ilvl="0" w:tentative="0">
      <w:start w:val="1"/>
      <w:numFmt w:val="chineseCounting"/>
      <w:suff w:val="nothing"/>
      <w:lvlText w:val="（%1）"/>
      <w:lvlJc w:val="left"/>
    </w:lvl>
  </w:abstractNum>
  <w:num w:numId="1">
    <w:abstractNumId w:val="4"/>
  </w:num>
  <w:num w:numId="2">
    <w:abstractNumId w:val="0"/>
  </w:num>
  <w:num w:numId="3">
    <w:abstractNumId w:val="8"/>
  </w:num>
  <w:num w:numId="4">
    <w:abstractNumId w:val="3"/>
  </w:num>
  <w:num w:numId="5">
    <w:abstractNumId w:val="1"/>
  </w:num>
  <w:num w:numId="6">
    <w:abstractNumId w:val="2"/>
  </w:num>
  <w:num w:numId="7">
    <w:abstractNumId w:val="6"/>
  </w:num>
  <w:num w:numId="8">
    <w:abstractNumId w:val="7"/>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91E0F"/>
    <w:rsid w:val="00CF3CFA"/>
    <w:rsid w:val="00D2519D"/>
    <w:rsid w:val="016F7182"/>
    <w:rsid w:val="020A3FD8"/>
    <w:rsid w:val="03A103BD"/>
    <w:rsid w:val="03B60225"/>
    <w:rsid w:val="03D92DD1"/>
    <w:rsid w:val="04242CA4"/>
    <w:rsid w:val="0480477A"/>
    <w:rsid w:val="05F9207A"/>
    <w:rsid w:val="0665562F"/>
    <w:rsid w:val="07884519"/>
    <w:rsid w:val="0798381C"/>
    <w:rsid w:val="094C2BD6"/>
    <w:rsid w:val="095D351F"/>
    <w:rsid w:val="096806CC"/>
    <w:rsid w:val="09EE30A5"/>
    <w:rsid w:val="0B4F12C7"/>
    <w:rsid w:val="0B84050F"/>
    <w:rsid w:val="0CA65AB8"/>
    <w:rsid w:val="0CEB3603"/>
    <w:rsid w:val="0D9A031D"/>
    <w:rsid w:val="0DB00A92"/>
    <w:rsid w:val="0E2B00FE"/>
    <w:rsid w:val="0E3230AA"/>
    <w:rsid w:val="0E8B6FDF"/>
    <w:rsid w:val="0E9625B8"/>
    <w:rsid w:val="0F435F0C"/>
    <w:rsid w:val="0FC13FD8"/>
    <w:rsid w:val="112C7084"/>
    <w:rsid w:val="121106BA"/>
    <w:rsid w:val="136B73F7"/>
    <w:rsid w:val="139A0948"/>
    <w:rsid w:val="13D452CC"/>
    <w:rsid w:val="142A1603"/>
    <w:rsid w:val="144A0121"/>
    <w:rsid w:val="14800D1D"/>
    <w:rsid w:val="14AE7166"/>
    <w:rsid w:val="14CF28C2"/>
    <w:rsid w:val="1642146E"/>
    <w:rsid w:val="16D274F3"/>
    <w:rsid w:val="17A6643F"/>
    <w:rsid w:val="18074025"/>
    <w:rsid w:val="1A4E386E"/>
    <w:rsid w:val="1A69640A"/>
    <w:rsid w:val="1A894A5B"/>
    <w:rsid w:val="1AB11F00"/>
    <w:rsid w:val="1B5D384A"/>
    <w:rsid w:val="1CAE41F4"/>
    <w:rsid w:val="1D8C1C02"/>
    <w:rsid w:val="1F8C0876"/>
    <w:rsid w:val="1FB96274"/>
    <w:rsid w:val="20A14E4D"/>
    <w:rsid w:val="21BB6774"/>
    <w:rsid w:val="22064DAA"/>
    <w:rsid w:val="24C71870"/>
    <w:rsid w:val="25330612"/>
    <w:rsid w:val="2569001F"/>
    <w:rsid w:val="256F5054"/>
    <w:rsid w:val="25BC4484"/>
    <w:rsid w:val="269D2FB1"/>
    <w:rsid w:val="280B5D59"/>
    <w:rsid w:val="282F3A99"/>
    <w:rsid w:val="296B407D"/>
    <w:rsid w:val="29BE196A"/>
    <w:rsid w:val="29DD33ED"/>
    <w:rsid w:val="29EC458E"/>
    <w:rsid w:val="29F47BB3"/>
    <w:rsid w:val="2A07568A"/>
    <w:rsid w:val="2AA35602"/>
    <w:rsid w:val="2B102713"/>
    <w:rsid w:val="2B4120DD"/>
    <w:rsid w:val="2BB04C84"/>
    <w:rsid w:val="2C1D57CD"/>
    <w:rsid w:val="2D227BE4"/>
    <w:rsid w:val="2D2D0B54"/>
    <w:rsid w:val="2D4A7265"/>
    <w:rsid w:val="2D8927CD"/>
    <w:rsid w:val="2D9A19D9"/>
    <w:rsid w:val="2DF26079"/>
    <w:rsid w:val="2E5D40B7"/>
    <w:rsid w:val="2E6C53FA"/>
    <w:rsid w:val="2F500714"/>
    <w:rsid w:val="318254CD"/>
    <w:rsid w:val="31C33C56"/>
    <w:rsid w:val="3208026D"/>
    <w:rsid w:val="338B465E"/>
    <w:rsid w:val="33961B60"/>
    <w:rsid w:val="33B84DE6"/>
    <w:rsid w:val="34CD3FAA"/>
    <w:rsid w:val="352F7B6E"/>
    <w:rsid w:val="35374F2C"/>
    <w:rsid w:val="359D7E25"/>
    <w:rsid w:val="35A624D5"/>
    <w:rsid w:val="35F5707D"/>
    <w:rsid w:val="3781341C"/>
    <w:rsid w:val="37B41A95"/>
    <w:rsid w:val="37F0383A"/>
    <w:rsid w:val="38A831B0"/>
    <w:rsid w:val="394403CA"/>
    <w:rsid w:val="397A54C3"/>
    <w:rsid w:val="39A37A2E"/>
    <w:rsid w:val="39B24885"/>
    <w:rsid w:val="3A2C5F17"/>
    <w:rsid w:val="3A591256"/>
    <w:rsid w:val="3A6D7005"/>
    <w:rsid w:val="3AFA3016"/>
    <w:rsid w:val="3B055929"/>
    <w:rsid w:val="3B530D44"/>
    <w:rsid w:val="3C172252"/>
    <w:rsid w:val="3C1E0603"/>
    <w:rsid w:val="3C9A5081"/>
    <w:rsid w:val="3D822488"/>
    <w:rsid w:val="3DB902CB"/>
    <w:rsid w:val="3FC34550"/>
    <w:rsid w:val="403361E2"/>
    <w:rsid w:val="403D7F6A"/>
    <w:rsid w:val="421350C0"/>
    <w:rsid w:val="428F461C"/>
    <w:rsid w:val="42E170AD"/>
    <w:rsid w:val="42F46466"/>
    <w:rsid w:val="43B333B9"/>
    <w:rsid w:val="46C93E05"/>
    <w:rsid w:val="46DE1E0A"/>
    <w:rsid w:val="480C5928"/>
    <w:rsid w:val="48484BF1"/>
    <w:rsid w:val="48B27928"/>
    <w:rsid w:val="4909056F"/>
    <w:rsid w:val="49E87024"/>
    <w:rsid w:val="4A263081"/>
    <w:rsid w:val="4AA74E69"/>
    <w:rsid w:val="4B030614"/>
    <w:rsid w:val="4D3A0CAF"/>
    <w:rsid w:val="4DF436D1"/>
    <w:rsid w:val="4ED85B34"/>
    <w:rsid w:val="504C1A30"/>
    <w:rsid w:val="50AB4BC7"/>
    <w:rsid w:val="50D26E8E"/>
    <w:rsid w:val="51B10620"/>
    <w:rsid w:val="52A54AC3"/>
    <w:rsid w:val="535758AE"/>
    <w:rsid w:val="53CD2284"/>
    <w:rsid w:val="53E77CF7"/>
    <w:rsid w:val="54230F1A"/>
    <w:rsid w:val="55A75189"/>
    <w:rsid w:val="55E42697"/>
    <w:rsid w:val="570A5DBE"/>
    <w:rsid w:val="57DF2810"/>
    <w:rsid w:val="58287E01"/>
    <w:rsid w:val="58BA110E"/>
    <w:rsid w:val="58DE40BF"/>
    <w:rsid w:val="5952523E"/>
    <w:rsid w:val="598C7063"/>
    <w:rsid w:val="59A623EC"/>
    <w:rsid w:val="59DC2091"/>
    <w:rsid w:val="5A6733AD"/>
    <w:rsid w:val="5A6976C9"/>
    <w:rsid w:val="5AB56E26"/>
    <w:rsid w:val="5AE57A27"/>
    <w:rsid w:val="5C043E0B"/>
    <w:rsid w:val="5CF778AC"/>
    <w:rsid w:val="5D6F0C71"/>
    <w:rsid w:val="5DE7626F"/>
    <w:rsid w:val="60263541"/>
    <w:rsid w:val="608038CE"/>
    <w:rsid w:val="60F57F8A"/>
    <w:rsid w:val="610F23B4"/>
    <w:rsid w:val="61750931"/>
    <w:rsid w:val="62B8315C"/>
    <w:rsid w:val="632F2DB6"/>
    <w:rsid w:val="63497061"/>
    <w:rsid w:val="637C02A4"/>
    <w:rsid w:val="64B46C67"/>
    <w:rsid w:val="668979D9"/>
    <w:rsid w:val="66910B09"/>
    <w:rsid w:val="66A04007"/>
    <w:rsid w:val="675B62D6"/>
    <w:rsid w:val="67765133"/>
    <w:rsid w:val="67D64B48"/>
    <w:rsid w:val="68941DA2"/>
    <w:rsid w:val="695669D7"/>
    <w:rsid w:val="695B3186"/>
    <w:rsid w:val="69785F96"/>
    <w:rsid w:val="6A134313"/>
    <w:rsid w:val="6A6D77E5"/>
    <w:rsid w:val="6C8901AC"/>
    <w:rsid w:val="6D540B8B"/>
    <w:rsid w:val="6F210EB5"/>
    <w:rsid w:val="6F72360F"/>
    <w:rsid w:val="70D41912"/>
    <w:rsid w:val="718100A8"/>
    <w:rsid w:val="7232591E"/>
    <w:rsid w:val="73591DE9"/>
    <w:rsid w:val="7549576B"/>
    <w:rsid w:val="78740CE3"/>
    <w:rsid w:val="7B977548"/>
    <w:rsid w:val="7C4356CB"/>
    <w:rsid w:val="7C9B5A83"/>
    <w:rsid w:val="7CD06927"/>
    <w:rsid w:val="7CED60E7"/>
    <w:rsid w:val="7E1B429E"/>
    <w:rsid w:val="7E4F5BB3"/>
    <w:rsid w:val="7E6B4774"/>
    <w:rsid w:val="7EB177A2"/>
    <w:rsid w:val="7F26694B"/>
    <w:rsid w:val="7F8753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next w:val="1"/>
    <w:qFormat/>
    <w:uiPriority w:val="0"/>
    <w:pPr>
      <w:widowControl/>
      <w:jc w:val="center"/>
      <w:outlineLvl w:val="0"/>
    </w:pPr>
    <w:rPr>
      <w:rFonts w:ascii="Arial" w:hAnsi="Arial" w:eastAsia="微软雅黑" w:cs="Arial"/>
      <w:b/>
      <w:bCs/>
      <w:color w:val="000000"/>
      <w:kern w:val="36"/>
      <w:sz w:val="24"/>
      <w:lang w:val="en-US" w:eastAsia="zh-CN" w:bidi="ar-SA"/>
    </w:rPr>
  </w:style>
  <w:style w:type="paragraph" w:styleId="4">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qFormat/>
    <w:uiPriority w:val="0"/>
    <w:pPr>
      <w:keepNext/>
      <w:keepLines/>
      <w:spacing w:before="260" w:beforeLines="0" w:beforeAutospacing="0" w:after="260" w:afterLines="0" w:afterAutospacing="0" w:line="413" w:lineRule="auto"/>
      <w:outlineLvl w:val="2"/>
    </w:pPr>
    <w:rPr>
      <w:b/>
      <w:sz w:val="32"/>
    </w:rPr>
  </w:style>
  <w:style w:type="paragraph" w:styleId="6">
    <w:name w:val="heading 4"/>
    <w:basedOn w:val="1"/>
    <w:next w:val="1"/>
    <w:qFormat/>
    <w:uiPriority w:val="0"/>
    <w:pPr>
      <w:widowControl/>
      <w:spacing w:before="100" w:beforeLines="0" w:beforeAutospacing="1" w:after="100" w:afterLines="0" w:afterAutospacing="1"/>
      <w:jc w:val="left"/>
      <w:outlineLvl w:val="3"/>
    </w:pPr>
    <w:rPr>
      <w:rFonts w:ascii="宋体" w:hAnsi="宋体" w:cs="宋体"/>
      <w:b/>
      <w:bCs/>
      <w:kern w:val="0"/>
      <w:sz w:val="24"/>
    </w:rPr>
  </w:style>
  <w:style w:type="paragraph" w:styleId="7">
    <w:name w:val="heading 5"/>
    <w:basedOn w:val="1"/>
    <w:next w:val="1"/>
    <w:qFormat/>
    <w:uiPriority w:val="0"/>
    <w:pPr>
      <w:widowControl/>
      <w:spacing w:before="100" w:beforeLines="0" w:beforeAutospacing="1" w:after="100" w:afterLines="0" w:afterAutospacing="1"/>
      <w:jc w:val="left"/>
      <w:outlineLvl w:val="4"/>
    </w:pPr>
    <w:rPr>
      <w:rFonts w:ascii="宋体" w:hAnsi="宋体" w:cs="宋体"/>
      <w:b/>
      <w:bCs/>
      <w:kern w:val="0"/>
      <w:sz w:val="20"/>
      <w:szCs w:val="20"/>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rFonts w:ascii="仿宋_GB2312" w:eastAsia="仿宋_GB2312"/>
      <w:sz w:val="32"/>
    </w:rPr>
  </w:style>
  <w:style w:type="paragraph" w:styleId="8">
    <w:name w:val="Normal Indent"/>
    <w:basedOn w:val="1"/>
    <w:qFormat/>
    <w:uiPriority w:val="0"/>
    <w:pPr>
      <w:adjustRightInd w:val="0"/>
      <w:snapToGrid w:val="0"/>
      <w:spacing w:line="360" w:lineRule="auto"/>
      <w:ind w:firstLine="420"/>
    </w:pPr>
    <w:rPr>
      <w:sz w:val="24"/>
    </w:rPr>
  </w:style>
  <w:style w:type="paragraph" w:styleId="9">
    <w:name w:val="Body Text Indent"/>
    <w:basedOn w:val="1"/>
    <w:next w:val="1"/>
    <w:qFormat/>
    <w:uiPriority w:val="99"/>
    <w:pPr>
      <w:spacing w:line="700" w:lineRule="exact"/>
      <w:ind w:left="960"/>
    </w:pPr>
    <w:rPr>
      <w:sz w:val="44"/>
    </w:rPr>
  </w:style>
  <w:style w:type="paragraph" w:styleId="10">
    <w:name w:val="Plain Text"/>
    <w:basedOn w:val="1"/>
    <w:qFormat/>
    <w:uiPriority w:val="0"/>
    <w:rPr>
      <w:rFonts w:ascii="宋体" w:hAnsi="Courier New"/>
      <w:sz w:val="21"/>
    </w:rPr>
  </w:style>
  <w:style w:type="paragraph" w:styleId="11">
    <w:name w:val="Date"/>
    <w:basedOn w:val="1"/>
    <w:next w:val="1"/>
    <w:qFormat/>
    <w:uiPriority w:val="0"/>
  </w:style>
  <w:style w:type="paragraph" w:styleId="12">
    <w:name w:val="Body Text Indent 2"/>
    <w:basedOn w:val="1"/>
    <w:qFormat/>
    <w:uiPriority w:val="0"/>
    <w:pPr>
      <w:snapToGrid w:val="0"/>
      <w:spacing w:line="560" w:lineRule="atLeast"/>
      <w:ind w:firstLine="540"/>
    </w:pPr>
  </w:style>
  <w:style w:type="paragraph" w:styleId="13">
    <w:name w:val="footer"/>
    <w:basedOn w:val="1"/>
    <w:qFormat/>
    <w:uiPriority w:val="99"/>
    <w:pPr>
      <w:tabs>
        <w:tab w:val="center" w:pos="4153"/>
        <w:tab w:val="right" w:pos="8306"/>
      </w:tabs>
      <w:snapToGrid w:val="0"/>
      <w:jc w:val="left"/>
    </w:pPr>
    <w:rPr>
      <w:sz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rPr>
  </w:style>
  <w:style w:type="paragraph" w:styleId="15">
    <w:name w:val="toc 1"/>
    <w:basedOn w:val="1"/>
    <w:next w:val="1"/>
    <w:qFormat/>
    <w:uiPriority w:val="0"/>
    <w:pPr>
      <w:spacing w:line="180" w:lineRule="auto"/>
      <w:jc w:val="center"/>
    </w:pPr>
    <w:rPr>
      <w:sz w:val="30"/>
    </w:rPr>
  </w:style>
  <w:style w:type="paragraph" w:styleId="16">
    <w:name w:val="index 9"/>
    <w:basedOn w:val="1"/>
    <w:next w:val="1"/>
    <w:qFormat/>
    <w:uiPriority w:val="0"/>
    <w:pPr>
      <w:widowControl w:val="0"/>
      <w:ind w:left="1600" w:leftChars="1600"/>
      <w:jc w:val="both"/>
    </w:pPr>
    <w:rPr>
      <w:rFonts w:ascii="Calibri" w:hAnsi="Calibri" w:eastAsia="微软雅黑" w:cs="Times New Roman"/>
      <w:kern w:val="2"/>
      <w:sz w:val="28"/>
      <w:lang w:val="en-US" w:eastAsia="zh-CN" w:bidi="ar-SA"/>
    </w:rPr>
  </w:style>
  <w:style w:type="paragraph" w:styleId="17">
    <w:name w:val="toc 2"/>
    <w:basedOn w:val="1"/>
    <w:next w:val="1"/>
    <w:qFormat/>
    <w:uiPriority w:val="39"/>
    <w:pPr>
      <w:ind w:left="420" w:leftChars="200"/>
    </w:pPr>
  </w:style>
  <w:style w:type="paragraph" w:styleId="18">
    <w:name w:val="Normal (Web)"/>
    <w:basedOn w:val="1"/>
    <w:qFormat/>
    <w:uiPriority w:val="99"/>
    <w:pPr>
      <w:widowControl/>
      <w:spacing w:before="100" w:beforeAutospacing="1" w:after="100" w:afterAutospacing="1"/>
      <w:jc w:val="left"/>
    </w:pPr>
    <w:rPr>
      <w:rFonts w:ascii="宋体"/>
      <w:kern w:val="0"/>
      <w:sz w:val="24"/>
    </w:rPr>
  </w:style>
  <w:style w:type="paragraph" w:styleId="19">
    <w:name w:val="Body Text First Indent"/>
    <w:basedOn w:val="2"/>
    <w:next w:val="1"/>
    <w:qFormat/>
    <w:uiPriority w:val="0"/>
    <w:pPr>
      <w:spacing w:line="360" w:lineRule="auto"/>
      <w:ind w:firstLine="420"/>
    </w:pPr>
    <w:rPr>
      <w:rFonts w:ascii="宋体"/>
      <w:sz w:val="24"/>
    </w:rPr>
  </w:style>
  <w:style w:type="character" w:styleId="22">
    <w:name w:val="page number"/>
    <w:basedOn w:val="21"/>
    <w:qFormat/>
    <w:uiPriority w:val="0"/>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paragraph" w:customStyle="1" w:styleId="24">
    <w:name w:val="1"/>
    <w:basedOn w:val="1"/>
    <w:next w:val="10"/>
    <w:qFormat/>
    <w:uiPriority w:val="0"/>
    <w:rPr>
      <w:rFonts w:ascii="宋体" w:hAnsi="Courier New"/>
      <w:sz w:val="21"/>
    </w:rPr>
  </w:style>
  <w:style w:type="paragraph" w:customStyle="1" w:styleId="25">
    <w:name w:val="正文1"/>
    <w:basedOn w:val="1"/>
    <w:qFormat/>
    <w:uiPriority w:val="0"/>
    <w:pPr>
      <w:spacing w:line="300" w:lineRule="auto"/>
      <w:ind w:firstLine="200" w:firstLineChars="200"/>
    </w:pPr>
    <w:rPr>
      <w:sz w:val="24"/>
    </w:rPr>
  </w:style>
  <w:style w:type="character" w:customStyle="1" w:styleId="26">
    <w:name w:val="正文1 Char Char"/>
    <w:qFormat/>
    <w:uiPriority w:val="0"/>
    <w:rPr>
      <w:rFonts w:ascii="宋体" w:hAnsi="宋体" w:eastAsia="宋体"/>
      <w:u w:val="single"/>
    </w:rPr>
  </w:style>
  <w:style w:type="paragraph" w:customStyle="1" w:styleId="27">
    <w:name w:val="列出段落11"/>
    <w:basedOn w:val="1"/>
    <w:qFormat/>
    <w:uiPriority w:val="0"/>
    <w:pPr>
      <w:ind w:firstLine="420" w:firstLineChars="20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41105</Words>
  <Characters>44326</Characters>
  <Lines>0</Lines>
  <Paragraphs>0</Paragraphs>
  <TotalTime>8</TotalTime>
  <ScaleCrop>false</ScaleCrop>
  <LinksUpToDate>false</LinksUpToDate>
  <CharactersWithSpaces>48497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2021-06-01T01:50:00Z</dcterms:created>
  <dc:creator>YJ</dc:creator>
  <cp:lastModifiedBy>雁过被拔毛</cp:lastModifiedBy>
  <cp:lastPrinted>2021-07-12T09:42:00Z</cp:lastPrinted>
  <dcterms:modified xsi:type="dcterms:W3CDTF">2021-10-09T07:15:45Z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CB0318C9D6D749A5A185BE63201E701A</vt:lpwstr>
  </property>
  <property fmtid="{D5CDD505-2E9C-101B-9397-08002B2CF9AE}" pid="4" name="KSOSaveFontToCloudKey">
    <vt:lpwstr>442767721_btnclosed</vt:lpwstr>
  </property>
</Properties>
</file>