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黑体_GBK" w:hAnsi="宋体" w:eastAsia="方正黑体_GBK"/>
          <w:spacing w:val="80"/>
          <w:sz w:val="100"/>
          <w:szCs w:val="112"/>
        </w:rPr>
      </w:pPr>
    </w:p>
    <w:p>
      <w:pPr>
        <w:jc w:val="center"/>
        <w:outlineLvl w:val="0"/>
        <w:rPr>
          <w:rFonts w:hint="eastAsia" w:ascii="方正黑体_GBK" w:hAnsi="宋体" w:eastAsia="方正黑体_GBK"/>
          <w:spacing w:val="80"/>
          <w:sz w:val="100"/>
          <w:szCs w:val="112"/>
        </w:rPr>
      </w:pPr>
    </w:p>
    <w:p>
      <w:pPr>
        <w:jc w:val="center"/>
        <w:outlineLvl w:val="0"/>
        <w:rPr>
          <w:rFonts w:hint="eastAsia" w:ascii="方正黑体_GBK" w:hAnsi="宋体" w:eastAsia="方正黑体_GBK"/>
          <w:spacing w:val="80"/>
          <w:sz w:val="100"/>
          <w:szCs w:val="112"/>
        </w:rPr>
      </w:pPr>
      <w:r>
        <w:rPr>
          <w:rFonts w:hint="eastAsia" w:ascii="方正黑体_GBK" w:hAnsi="宋体" w:eastAsia="方正黑体_GBK"/>
          <w:spacing w:val="80"/>
          <w:sz w:val="100"/>
          <w:szCs w:val="112"/>
        </w:rPr>
        <w:t>询价采购文件</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460" w:lineRule="exact"/>
        <w:ind w:firstLine="562" w:firstLineChars="200"/>
        <w:jc w:val="left"/>
        <w:rPr>
          <w:rFonts w:hint="eastAsia" w:ascii="方正仿宋_GBK" w:hAnsi="宋体" w:eastAsia="方正仿宋_GBK"/>
          <w:b/>
          <w:bCs/>
          <w:color w:val="auto"/>
          <w:sz w:val="28"/>
          <w:szCs w:val="28"/>
          <w:lang w:eastAsia="zh-CN"/>
        </w:rPr>
      </w:pPr>
      <w:r>
        <w:rPr>
          <w:rFonts w:hint="eastAsia" w:ascii="方正仿宋_GBK" w:hAnsi="宋体" w:eastAsia="方正仿宋_GBK"/>
          <w:b/>
          <w:bCs/>
          <w:color w:val="auto"/>
          <w:sz w:val="28"/>
          <w:szCs w:val="28"/>
          <w:lang w:eastAsia="zh-CN"/>
        </w:rPr>
        <w:t>项目名称：</w:t>
      </w:r>
      <w:r>
        <w:rPr>
          <w:rFonts w:hint="eastAsia" w:ascii="方正仿宋_GBK" w:hAnsi="宋体" w:eastAsia="方正仿宋_GBK"/>
          <w:color w:val="auto"/>
          <w:sz w:val="28"/>
          <w:szCs w:val="28"/>
          <w:lang w:eastAsia="zh-CN"/>
        </w:rPr>
        <w:t xml:space="preserve"> </w:t>
      </w:r>
      <w:r>
        <w:rPr>
          <w:rFonts w:hint="eastAsia" w:ascii="方正仿宋_GBK" w:hAnsi="宋体" w:eastAsia="方正仿宋_GBK"/>
          <w:b/>
          <w:bCs/>
          <w:color w:val="auto"/>
          <w:sz w:val="28"/>
          <w:szCs w:val="28"/>
          <w:lang w:eastAsia="zh-CN"/>
        </w:rPr>
        <w:t>生物安全柜、空气压力循环治疗仪采购</w:t>
      </w:r>
    </w:p>
    <w:p>
      <w:pPr>
        <w:spacing w:line="460" w:lineRule="exact"/>
        <w:ind w:firstLine="562" w:firstLineChars="200"/>
        <w:jc w:val="left"/>
        <w:rPr>
          <w:rFonts w:hint="eastAsia" w:ascii="方正仿宋_GBK" w:hAnsi="宋体" w:eastAsia="方正仿宋_GBK"/>
          <w:b/>
          <w:bCs/>
          <w:color w:val="auto"/>
          <w:sz w:val="28"/>
          <w:szCs w:val="28"/>
          <w:lang w:eastAsia="zh-CN"/>
        </w:rPr>
      </w:pPr>
      <w:r>
        <w:rPr>
          <w:rFonts w:hint="eastAsia" w:ascii="方正仿宋_GBK" w:hAnsi="宋体" w:eastAsia="方正仿宋_GBK"/>
          <w:b/>
          <w:bCs/>
          <w:color w:val="auto"/>
          <w:sz w:val="28"/>
          <w:szCs w:val="28"/>
          <w:lang w:eastAsia="zh-CN"/>
        </w:rPr>
        <w:t>采 购 人：  重庆市荣昌区人民医院</w:t>
      </w:r>
    </w:p>
    <w:p>
      <w:pPr>
        <w:spacing w:line="720" w:lineRule="exact"/>
        <w:jc w:val="left"/>
        <w:outlineLvl w:val="0"/>
        <w:rPr>
          <w:rFonts w:hint="eastAsia" w:ascii="方正黑体_GBK" w:hAnsi="宋体" w:eastAsia="方正黑体_GBK"/>
          <w:sz w:val="48"/>
          <w:szCs w:val="32"/>
        </w:rPr>
      </w:pPr>
    </w:p>
    <w:p>
      <w:pPr>
        <w:spacing w:line="720" w:lineRule="exact"/>
        <w:jc w:val="center"/>
        <w:outlineLvl w:val="0"/>
        <w:rPr>
          <w:rFonts w:hint="eastAsia" w:ascii="方正黑体_GBK" w:hAnsi="宋体" w:eastAsia="方正黑体_GBK"/>
          <w:sz w:val="48"/>
          <w:szCs w:val="32"/>
        </w:rPr>
      </w:pPr>
    </w:p>
    <w:p>
      <w:pPr>
        <w:spacing w:line="720" w:lineRule="exact"/>
        <w:outlineLvl w:val="0"/>
        <w:rPr>
          <w:rFonts w:hint="eastAsia" w:ascii="方正黑体_GBK" w:hAnsi="宋体" w:eastAsia="方正黑体_GBK"/>
          <w:sz w:val="48"/>
          <w:szCs w:val="32"/>
        </w:rPr>
      </w:pPr>
    </w:p>
    <w:p>
      <w:pPr>
        <w:spacing w:line="720" w:lineRule="exact"/>
        <w:outlineLvl w:val="0"/>
        <w:rPr>
          <w:rFonts w:hint="eastAsia" w:ascii="方正黑体_GBK" w:hAnsi="宋体" w:eastAsia="方正黑体_GBK"/>
          <w:sz w:val="48"/>
          <w:szCs w:val="32"/>
        </w:rPr>
      </w:pPr>
    </w:p>
    <w:p>
      <w:pPr>
        <w:spacing w:line="720" w:lineRule="exact"/>
        <w:outlineLvl w:val="0"/>
        <w:rPr>
          <w:rFonts w:hint="eastAsia" w:ascii="方正黑体_GBK" w:hAnsi="宋体" w:eastAsia="方正黑体_GBK"/>
          <w:sz w:val="48"/>
          <w:szCs w:val="32"/>
        </w:rPr>
      </w:pPr>
    </w:p>
    <w:p>
      <w:pPr>
        <w:spacing w:line="720" w:lineRule="exact"/>
        <w:jc w:val="center"/>
        <w:outlineLvl w:val="0"/>
        <w:rPr>
          <w:rFonts w:hint="eastAsia" w:ascii="方正黑体_GBK" w:hAnsi="宋体" w:eastAsia="方正黑体_GBK"/>
          <w:sz w:val="48"/>
          <w:szCs w:val="32"/>
        </w:rPr>
      </w:pPr>
    </w:p>
    <w:p>
      <w:pPr>
        <w:spacing w:line="420" w:lineRule="exact"/>
        <w:jc w:val="center"/>
        <w:outlineLvl w:val="0"/>
        <w:rPr>
          <w:rFonts w:hint="eastAsia" w:ascii="方正小标宋_GBK" w:hAnsi="宋体" w:eastAsia="方正小标宋_GBK"/>
          <w:sz w:val="44"/>
          <w:szCs w:val="44"/>
        </w:rPr>
      </w:pPr>
      <w:r>
        <w:rPr>
          <w:rFonts w:hint="eastAsia" w:ascii="方正小标宋_GBK" w:hAnsi="宋体" w:eastAsia="方正小标宋_GBK"/>
          <w:sz w:val="44"/>
          <w:szCs w:val="44"/>
        </w:rPr>
        <w:t>二〇二〇年</w:t>
      </w:r>
      <w:r>
        <w:rPr>
          <w:rFonts w:hint="eastAsia" w:ascii="方正小标宋_GBK" w:hAnsi="宋体" w:eastAsia="方正小标宋_GBK"/>
          <w:sz w:val="44"/>
          <w:szCs w:val="44"/>
          <w:lang w:eastAsia="zh-CN"/>
        </w:rPr>
        <w:t>八</w:t>
      </w:r>
      <w:r>
        <w:rPr>
          <w:rFonts w:hint="eastAsia" w:ascii="方正小标宋_GBK" w:hAnsi="宋体" w:eastAsia="方正小标宋_GBK"/>
          <w:sz w:val="44"/>
          <w:szCs w:val="44"/>
        </w:rPr>
        <w:t>月</w:t>
      </w:r>
    </w:p>
    <w:p>
      <w:pPr>
        <w:spacing w:line="420" w:lineRule="exact"/>
        <w:jc w:val="center"/>
        <w:outlineLvl w:val="0"/>
        <w:rPr>
          <w:rFonts w:hint="eastAsia" w:ascii="方正小标宋_GBK" w:hAnsi="宋体" w:eastAsia="方正小标宋_GBK"/>
          <w:sz w:val="44"/>
          <w:szCs w:val="44"/>
        </w:rPr>
      </w:pPr>
    </w:p>
    <w:p>
      <w:pPr>
        <w:spacing w:line="420" w:lineRule="exact"/>
        <w:jc w:val="center"/>
        <w:outlineLvl w:val="0"/>
        <w:rPr>
          <w:rFonts w:hint="eastAsia" w:ascii="方正小标宋_GBK" w:hAnsi="宋体" w:eastAsia="方正小标宋_GBK"/>
          <w:sz w:val="44"/>
          <w:szCs w:val="44"/>
        </w:rPr>
      </w:pPr>
    </w:p>
    <w:p>
      <w:pPr>
        <w:snapToGrid w:val="0"/>
        <w:spacing w:line="400" w:lineRule="exact"/>
        <w:ind w:firstLine="560" w:firstLineChars="200"/>
        <w:rPr>
          <w:rFonts w:ascii="方正仿宋_GBK" w:hAnsi="宋体" w:eastAsia="方正仿宋_GBK"/>
          <w:color w:val="auto"/>
          <w:sz w:val="28"/>
          <w:szCs w:val="28"/>
        </w:rPr>
      </w:pPr>
      <w:r>
        <w:rPr>
          <w:rFonts w:hint="eastAsia" w:ascii="方正仿宋_GBK" w:hAnsi="宋体" w:eastAsia="方正仿宋_GBK"/>
          <w:color w:val="auto"/>
          <w:sz w:val="28"/>
          <w:szCs w:val="28"/>
        </w:rPr>
        <w:t>重庆市荣昌区人民医院为满足业务发展需求，经院内审批同意，拟采购</w:t>
      </w:r>
      <w:r>
        <w:rPr>
          <w:rFonts w:hint="eastAsia" w:ascii="方正仿宋_GBK" w:hAnsi="宋体" w:eastAsia="方正仿宋_GBK"/>
          <w:color w:val="auto"/>
          <w:sz w:val="28"/>
          <w:szCs w:val="28"/>
          <w:lang w:eastAsia="zh-CN"/>
        </w:rPr>
        <w:t>生物安全柜、空气压力循环治疗仪</w:t>
      </w:r>
      <w:r>
        <w:rPr>
          <w:rFonts w:hint="eastAsia" w:ascii="方正仿宋_GBK" w:hAnsi="宋体" w:eastAsia="方正仿宋_GBK"/>
          <w:color w:val="auto"/>
          <w:sz w:val="28"/>
          <w:szCs w:val="28"/>
        </w:rPr>
        <w:t>，欢迎有资格的供应商积极参加，相关具体要求如下：</w:t>
      </w:r>
    </w:p>
    <w:p>
      <w:pPr>
        <w:snapToGrid w:val="0"/>
        <w:spacing w:line="400" w:lineRule="exact"/>
        <w:ind w:firstLine="560" w:firstLineChars="200"/>
        <w:rPr>
          <w:rFonts w:ascii="方正仿宋_GBK" w:hAnsi="宋体" w:eastAsia="方正仿宋_GBK"/>
          <w:color w:val="auto"/>
          <w:sz w:val="28"/>
          <w:szCs w:val="28"/>
        </w:rPr>
      </w:pPr>
      <w:r>
        <w:rPr>
          <w:rFonts w:hint="eastAsia" w:ascii="方正黑体_GBK" w:hAnsi="宋体" w:eastAsia="方正黑体_GBK"/>
          <w:color w:val="auto"/>
          <w:sz w:val="28"/>
          <w:szCs w:val="28"/>
        </w:rPr>
        <w:t>一、询价采购内容</w:t>
      </w:r>
      <w:r>
        <w:rPr>
          <w:rFonts w:hint="eastAsia" w:ascii="方正仿宋_GBK" w:hAnsi="宋体" w:eastAsia="方正仿宋_GBK"/>
          <w:color w:val="auto"/>
          <w:sz w:val="28"/>
          <w:szCs w:val="28"/>
        </w:rPr>
        <w:t xml:space="preserve"> </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624"/>
        <w:gridCol w:w="941"/>
        <w:gridCol w:w="1212"/>
        <w:gridCol w:w="181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773"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b/>
                <w:bCs/>
                <w:color w:val="auto"/>
                <w:kern w:val="0"/>
                <w:lang w:eastAsia="zh-CN"/>
              </w:rPr>
            </w:pPr>
            <w:r>
              <w:rPr>
                <w:rFonts w:hint="eastAsia" w:ascii="方正仿宋_GBK" w:hAnsi="宋体" w:eastAsia="方正仿宋_GBK" w:cs="宋体"/>
                <w:b/>
                <w:bCs/>
                <w:color w:val="auto"/>
                <w:kern w:val="0"/>
                <w:lang w:eastAsia="zh-CN"/>
              </w:rPr>
              <w:t>序号</w:t>
            </w:r>
          </w:p>
        </w:tc>
        <w:tc>
          <w:tcPr>
            <w:tcW w:w="262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设备名称</w:t>
            </w:r>
          </w:p>
        </w:tc>
        <w:tc>
          <w:tcPr>
            <w:tcW w:w="941"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数量及单位</w:t>
            </w:r>
          </w:p>
        </w:tc>
        <w:tc>
          <w:tcPr>
            <w:tcW w:w="1212"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color w:val="auto"/>
                <w:kern w:val="0"/>
                <w:lang w:eastAsia="zh-CN"/>
              </w:rPr>
            </w:pPr>
            <w:r>
              <w:rPr>
                <w:rFonts w:hint="eastAsia" w:ascii="方正仿宋_GBK" w:hAnsi="宋体" w:eastAsia="方正仿宋_GBK" w:cs="宋体"/>
                <w:b/>
                <w:bCs/>
                <w:color w:val="auto"/>
                <w:kern w:val="0"/>
                <w:lang w:eastAsia="zh-CN"/>
              </w:rPr>
              <w:t>单价限价（元）</w:t>
            </w:r>
          </w:p>
        </w:tc>
        <w:tc>
          <w:tcPr>
            <w:tcW w:w="1817"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限价</w:t>
            </w:r>
          </w:p>
          <w:p>
            <w:pPr>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（元）</w:t>
            </w:r>
          </w:p>
        </w:tc>
        <w:tc>
          <w:tcPr>
            <w:tcW w:w="170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b/>
                <w:bCs/>
                <w:color w:val="auto"/>
                <w:kern w:val="0"/>
                <w:lang w:val="en-US" w:eastAsia="zh-CN"/>
              </w:rPr>
            </w:pPr>
            <w:bookmarkStart w:id="0" w:name="_Hlk344477914"/>
            <w:r>
              <w:rPr>
                <w:rFonts w:hint="eastAsia" w:ascii="方正仿宋_GBK" w:hAnsi="宋体" w:eastAsia="方正仿宋_GBK" w:cs="宋体"/>
                <w:b/>
                <w:bCs/>
                <w:color w:val="auto"/>
                <w:kern w:val="0"/>
                <w:lang w:val="en-US" w:eastAsia="zh-CN"/>
              </w:rPr>
              <w:t>1</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eastAsia="zh-CN"/>
              </w:rPr>
            </w:pPr>
            <w:r>
              <w:rPr>
                <w:rFonts w:hint="eastAsia" w:ascii="方正仿宋_GBK" w:hAnsi="宋体" w:eastAsia="方正仿宋_GBK"/>
                <w:color w:val="auto"/>
                <w:sz w:val="28"/>
                <w:szCs w:val="28"/>
                <w:lang w:eastAsia="zh-CN"/>
              </w:rPr>
              <w:t>生物安全柜</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1台</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34500</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34500</w:t>
            </w:r>
          </w:p>
        </w:tc>
        <w:tc>
          <w:tcPr>
            <w:tcW w:w="1700" w:type="dxa"/>
            <w:vMerge w:val="restart"/>
            <w:tcBorders>
              <w:top w:val="single" w:color="auto" w:sz="4" w:space="0"/>
              <w:left w:val="single" w:color="auto" w:sz="4" w:space="0"/>
              <w:right w:val="single" w:color="auto" w:sz="4" w:space="0"/>
            </w:tcBorders>
            <w:vAlign w:val="center"/>
          </w:tcPr>
          <w:p>
            <w:pPr>
              <w:jc w:val="center"/>
              <w:rPr>
                <w:rFonts w:ascii="方正仿宋_GBK" w:hAnsi="宋体" w:eastAsia="方正仿宋_GBK"/>
                <w:b/>
                <w:color w:val="auto"/>
                <w:szCs w:val="21"/>
              </w:rPr>
            </w:pPr>
            <w:r>
              <w:rPr>
                <w:rFonts w:hint="eastAsia" w:ascii="方正仿宋_GBK" w:hAnsi="宋体" w:eastAsia="方正仿宋_GBK"/>
                <w:b/>
                <w:color w:val="auto"/>
                <w:szCs w:val="21"/>
              </w:rPr>
              <w:t>本分包产品须为中国大陆境内生产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b/>
                <w:bCs/>
                <w:color w:val="auto"/>
                <w:kern w:val="0"/>
                <w:lang w:val="en-US" w:eastAsia="zh-CN"/>
              </w:rPr>
            </w:pPr>
            <w:r>
              <w:rPr>
                <w:rFonts w:hint="eastAsia" w:ascii="方正仿宋_GBK" w:hAnsi="宋体" w:eastAsia="方正仿宋_GBK" w:cs="宋体"/>
                <w:b/>
                <w:bCs/>
                <w:color w:val="auto"/>
                <w:kern w:val="0"/>
                <w:lang w:val="en-US" w:eastAsia="zh-CN"/>
              </w:rPr>
              <w:t>2</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r>
              <w:rPr>
                <w:rFonts w:hint="eastAsia" w:ascii="方正仿宋_GBK" w:hAnsi="宋体" w:eastAsia="方正仿宋_GBK"/>
                <w:color w:val="auto"/>
                <w:sz w:val="28"/>
                <w:szCs w:val="28"/>
                <w:lang w:eastAsia="zh-CN"/>
              </w:rPr>
              <w:t>空气压力循环治疗仪</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1台</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29000</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29000</w:t>
            </w:r>
          </w:p>
        </w:tc>
        <w:tc>
          <w:tcPr>
            <w:tcW w:w="1700" w:type="dxa"/>
            <w:vMerge w:val="continue"/>
            <w:tcBorders>
              <w:left w:val="single" w:color="auto" w:sz="4" w:space="0"/>
              <w:right w:val="single" w:color="auto" w:sz="4" w:space="0"/>
            </w:tcBorders>
            <w:vAlign w:val="center"/>
          </w:tcPr>
          <w:p>
            <w:pPr>
              <w:jc w:val="center"/>
              <w:rPr>
                <w:rFonts w:hint="eastAsia" w:ascii="方正仿宋_GBK" w:hAnsi="宋体" w:eastAsia="方正仿宋_GBK"/>
                <w:b/>
                <w:color w:val="auto"/>
                <w:szCs w:val="21"/>
              </w:rPr>
            </w:pPr>
          </w:p>
        </w:tc>
      </w:tr>
      <w:bookmarkEnd w:id="0"/>
    </w:tbl>
    <w:p>
      <w:pPr>
        <w:snapToGrid w:val="0"/>
        <w:spacing w:line="400" w:lineRule="exact"/>
        <w:ind w:firstLine="560" w:firstLineChars="200"/>
        <w:rPr>
          <w:rFonts w:hint="eastAsia" w:ascii="方正仿宋_GBK" w:hAnsi="宋体" w:eastAsia="方正仿宋_GBK"/>
          <w:color w:val="auto"/>
          <w:sz w:val="28"/>
          <w:szCs w:val="28"/>
          <w:lang w:eastAsia="zh-CN"/>
        </w:rPr>
      </w:pPr>
    </w:p>
    <w:p>
      <w:pPr>
        <w:snapToGrid w:val="0"/>
        <w:spacing w:line="400" w:lineRule="exact"/>
        <w:ind w:firstLine="560" w:firstLineChars="200"/>
        <w:rPr>
          <w:rFonts w:ascii="方正黑体_GBK" w:hAnsi="宋体" w:eastAsia="方正黑体_GBK"/>
          <w:color w:val="auto"/>
          <w:sz w:val="28"/>
          <w:szCs w:val="28"/>
        </w:rPr>
      </w:pPr>
      <w:r>
        <w:rPr>
          <w:rFonts w:hint="eastAsia" w:ascii="方正黑体_GBK" w:hAnsi="宋体" w:eastAsia="方正黑体_GBK"/>
          <w:color w:val="auto"/>
          <w:sz w:val="28"/>
          <w:szCs w:val="28"/>
        </w:rPr>
        <w:t>二、供应商要求</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（一）一般资格条件</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1.具有独立承担民事责任的能力；</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2.具有良好的商业信誉和健全的财务会计制度；</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3.具有履行合同所必需的设备和专业技术能力；</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4.有依法缴纳税收和社会保障资金的良好记录；</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5.参加政府采购活动前三年内，在经营活动中没有重大违法记录；</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6.法律、行政法规规定的其他条件。</w:t>
      </w:r>
    </w:p>
    <w:p>
      <w:pPr>
        <w:snapToGrid w:val="0"/>
        <w:spacing w:line="380" w:lineRule="exact"/>
        <w:ind w:firstLine="420" w:firstLineChars="150"/>
        <w:rPr>
          <w:rFonts w:ascii="方正仿宋_GBK" w:hAnsi="宋体" w:eastAsia="方正仿宋_GBK"/>
          <w:color w:val="auto"/>
          <w:sz w:val="28"/>
          <w:szCs w:val="28"/>
        </w:rPr>
      </w:pPr>
      <w:r>
        <w:rPr>
          <w:rFonts w:ascii="方正仿宋_GBK" w:hAnsi="宋体" w:eastAsia="方正仿宋_GBK"/>
          <w:color w:val="auto"/>
          <w:sz w:val="28"/>
          <w:szCs w:val="28"/>
        </w:rPr>
        <w:t>（二）特定资格条件</w:t>
      </w:r>
    </w:p>
    <w:p>
      <w:pPr>
        <w:snapToGrid w:val="0"/>
        <w:spacing w:line="380" w:lineRule="exact"/>
        <w:ind w:firstLine="420" w:firstLineChars="15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 xml:space="preserve"> 1、须具有所提供产品有效期内的《中华人民共和国医疗器械注册证》，若注册证有附件的，还须提供附件（提供注册证复印件，注册证有附件的还须提供注册证附件复印件）；</w:t>
      </w:r>
    </w:p>
    <w:p>
      <w:pPr>
        <w:snapToGrid w:val="0"/>
        <w:spacing w:line="380" w:lineRule="exact"/>
        <w:ind w:firstLine="420" w:firstLineChars="15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snapToGrid w:val="0"/>
        <w:spacing w:line="400" w:lineRule="exact"/>
        <w:ind w:firstLine="560" w:firstLineChars="200"/>
        <w:rPr>
          <w:rFonts w:hint="eastAsia" w:ascii="方正黑体_GBK" w:hAnsi="宋体" w:eastAsia="方正黑体_GBK"/>
          <w:color w:val="auto"/>
          <w:sz w:val="28"/>
          <w:szCs w:val="28"/>
          <w:lang w:eastAsia="zh-CN"/>
        </w:rPr>
      </w:pPr>
      <w:r>
        <w:rPr>
          <w:rFonts w:hint="eastAsia" w:ascii="方正黑体_GBK" w:hAnsi="宋体" w:eastAsia="方正黑体_GBK"/>
          <w:color w:val="auto"/>
          <w:sz w:val="28"/>
          <w:szCs w:val="28"/>
        </w:rPr>
        <w:t>三、</w:t>
      </w:r>
      <w:r>
        <w:rPr>
          <w:rFonts w:hint="eastAsia" w:ascii="方正黑体_GBK" w:hAnsi="宋体" w:eastAsia="方正黑体_GBK"/>
          <w:color w:val="auto"/>
          <w:sz w:val="28"/>
          <w:szCs w:val="28"/>
          <w:lang w:eastAsia="zh-CN"/>
        </w:rPr>
        <w:t>文件递交相关说明</w:t>
      </w:r>
    </w:p>
    <w:p>
      <w:pPr>
        <w:numPr>
          <w:ilvl w:val="0"/>
          <w:numId w:val="1"/>
        </w:numPr>
        <w:snapToGrid w:val="0"/>
        <w:spacing w:line="380" w:lineRule="exact"/>
        <w:ind w:left="425" w:leftChars="0" w:hanging="425" w:firstLineChars="0"/>
        <w:outlineLvl w:val="9"/>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eastAsia="zh-CN"/>
        </w:rPr>
        <w:t>响应文件递交时间</w:t>
      </w:r>
      <w:r>
        <w:rPr>
          <w:rFonts w:hint="eastAsia" w:ascii="方正仿宋_GBK" w:hAnsi="宋体" w:eastAsia="方正仿宋_GBK"/>
          <w:color w:val="auto"/>
          <w:sz w:val="28"/>
          <w:szCs w:val="28"/>
        </w:rPr>
        <w:t>：202</w:t>
      </w:r>
      <w:r>
        <w:rPr>
          <w:rFonts w:hint="eastAsia" w:ascii="方正仿宋_GBK" w:hAnsi="宋体" w:eastAsia="方正仿宋_GBK"/>
          <w:color w:val="auto"/>
          <w:sz w:val="28"/>
          <w:szCs w:val="28"/>
          <w:lang w:val="en-US" w:eastAsia="zh-CN"/>
        </w:rPr>
        <w:t>1</w:t>
      </w:r>
      <w:r>
        <w:rPr>
          <w:rFonts w:hint="eastAsia" w:ascii="方正仿宋_GBK" w:hAnsi="宋体" w:eastAsia="方正仿宋_GBK"/>
          <w:color w:val="auto"/>
          <w:sz w:val="28"/>
          <w:szCs w:val="28"/>
        </w:rPr>
        <w:t>年</w:t>
      </w:r>
      <w:r>
        <w:rPr>
          <w:rFonts w:hint="eastAsia" w:ascii="方正仿宋_GBK" w:hAnsi="宋体" w:eastAsia="方正仿宋_GBK"/>
          <w:color w:val="auto"/>
          <w:sz w:val="28"/>
          <w:szCs w:val="28"/>
          <w:lang w:val="en-US" w:eastAsia="zh-CN"/>
        </w:rPr>
        <w:t>8</w:t>
      </w:r>
      <w:r>
        <w:rPr>
          <w:rFonts w:hint="eastAsia" w:ascii="方正仿宋_GBK" w:hAnsi="宋体" w:eastAsia="方正仿宋_GBK"/>
          <w:color w:val="auto"/>
          <w:sz w:val="28"/>
          <w:szCs w:val="28"/>
        </w:rPr>
        <w:t>月</w:t>
      </w:r>
      <w:r>
        <w:rPr>
          <w:rFonts w:hint="eastAsia" w:ascii="方正仿宋_GBK" w:hAnsi="宋体" w:eastAsia="方正仿宋_GBK"/>
          <w:color w:val="auto"/>
          <w:sz w:val="28"/>
          <w:szCs w:val="28"/>
          <w:lang w:val="en-US" w:eastAsia="zh-CN"/>
        </w:rPr>
        <w:t xml:space="preserve"> 19</w:t>
      </w:r>
      <w:r>
        <w:rPr>
          <w:rFonts w:hint="eastAsia" w:ascii="方正仿宋_GBK" w:hAnsi="宋体" w:eastAsia="方正仿宋_GBK"/>
          <w:color w:val="auto"/>
          <w:sz w:val="28"/>
          <w:szCs w:val="28"/>
        </w:rPr>
        <w:t>日</w:t>
      </w:r>
      <w:r>
        <w:rPr>
          <w:rFonts w:hint="eastAsia" w:ascii="方正仿宋_GBK" w:hAnsi="宋体" w:eastAsia="方正仿宋_GBK"/>
          <w:color w:val="auto"/>
          <w:sz w:val="28"/>
          <w:szCs w:val="28"/>
          <w:lang w:val="en-US" w:eastAsia="zh-CN"/>
        </w:rPr>
        <w:t>14</w:t>
      </w: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3</w:t>
      </w:r>
      <w:r>
        <w:rPr>
          <w:rFonts w:hint="eastAsia" w:ascii="方正仿宋_GBK" w:hAnsi="宋体" w:eastAsia="方正仿宋_GBK"/>
          <w:color w:val="auto"/>
          <w:sz w:val="28"/>
          <w:szCs w:val="28"/>
        </w:rPr>
        <w:t>0</w:t>
      </w:r>
      <w:r>
        <w:rPr>
          <w:rFonts w:hint="eastAsia" w:ascii="方正仿宋_GBK" w:hAnsi="宋体" w:eastAsia="方正仿宋_GBK"/>
          <w:color w:val="auto"/>
          <w:sz w:val="28"/>
          <w:szCs w:val="28"/>
          <w:lang w:val="en-US" w:eastAsia="zh-CN"/>
        </w:rPr>
        <w:t>-15：00（北京时间）。</w:t>
      </w:r>
    </w:p>
    <w:p>
      <w:pPr>
        <w:numPr>
          <w:ilvl w:val="0"/>
          <w:numId w:val="1"/>
        </w:numPr>
        <w:snapToGrid w:val="0"/>
        <w:spacing w:line="380" w:lineRule="exact"/>
        <w:ind w:left="425" w:leftChars="0" w:hanging="425" w:firstLineChars="0"/>
        <w:outlineLvl w:val="9"/>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响应文件递交方式：</w:t>
      </w:r>
      <w:r>
        <w:rPr>
          <w:rFonts w:hint="eastAsia" w:ascii="方正仿宋_GBK" w:hAnsi="宋体" w:eastAsia="方正仿宋_GBK"/>
          <w:color w:val="0000FF"/>
          <w:sz w:val="28"/>
          <w:szCs w:val="28"/>
          <w:lang w:val="en-US" w:eastAsia="zh-CN"/>
        </w:rPr>
        <w:t>因疫情原因采用邮寄方式</w:t>
      </w:r>
      <w:r>
        <w:rPr>
          <w:rFonts w:hint="eastAsia" w:ascii="方正仿宋_GBK" w:hAnsi="宋体" w:eastAsia="方正仿宋_GBK"/>
          <w:color w:val="auto"/>
          <w:sz w:val="28"/>
          <w:szCs w:val="28"/>
          <w:lang w:val="en-US" w:eastAsia="zh-CN"/>
        </w:rPr>
        <w:t>（邮寄地址和联系方式：重庆市荣昌区人民医院行政楼采购办（三），张台贤18523975326）。</w:t>
      </w:r>
    </w:p>
    <w:p>
      <w:pPr>
        <w:numPr>
          <w:ilvl w:val="0"/>
          <w:numId w:val="1"/>
        </w:numPr>
        <w:snapToGrid w:val="0"/>
        <w:spacing w:line="380" w:lineRule="exact"/>
        <w:ind w:left="425" w:leftChars="0" w:hanging="425" w:firstLineChars="0"/>
        <w:outlineLvl w:val="9"/>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响应文件递交地点：重庆市荣昌区人民医院行政楼3楼会议室（一）。</w:t>
      </w:r>
    </w:p>
    <w:p>
      <w:pPr>
        <w:numPr>
          <w:ilvl w:val="0"/>
          <w:numId w:val="1"/>
        </w:numPr>
        <w:snapToGrid w:val="0"/>
        <w:spacing w:line="380" w:lineRule="exact"/>
        <w:ind w:left="425" w:leftChars="0" w:hanging="425" w:firstLineChars="0"/>
        <w:outlineLvl w:val="9"/>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评审时间</w:t>
      </w:r>
      <w:r>
        <w:rPr>
          <w:rFonts w:hint="eastAsia" w:ascii="方正仿宋_GBK" w:hAnsi="宋体" w:eastAsia="方正仿宋_GBK"/>
          <w:color w:val="auto"/>
          <w:sz w:val="28"/>
          <w:szCs w:val="28"/>
        </w:rPr>
        <w:t>202</w:t>
      </w:r>
      <w:r>
        <w:rPr>
          <w:rFonts w:hint="eastAsia" w:ascii="方正仿宋_GBK" w:hAnsi="宋体" w:eastAsia="方正仿宋_GBK"/>
          <w:color w:val="auto"/>
          <w:sz w:val="28"/>
          <w:szCs w:val="28"/>
          <w:lang w:val="en-US" w:eastAsia="zh-CN"/>
        </w:rPr>
        <w:t>1</w:t>
      </w:r>
      <w:r>
        <w:rPr>
          <w:rFonts w:hint="eastAsia" w:ascii="方正仿宋_GBK" w:hAnsi="宋体" w:eastAsia="方正仿宋_GBK"/>
          <w:color w:val="auto"/>
          <w:sz w:val="28"/>
          <w:szCs w:val="28"/>
        </w:rPr>
        <w:t>年</w:t>
      </w:r>
      <w:r>
        <w:rPr>
          <w:rFonts w:hint="eastAsia" w:ascii="方正仿宋_GBK" w:hAnsi="宋体" w:eastAsia="方正仿宋_GBK"/>
          <w:color w:val="auto"/>
          <w:sz w:val="28"/>
          <w:szCs w:val="28"/>
          <w:lang w:val="en-US" w:eastAsia="zh-CN"/>
        </w:rPr>
        <w:t>8</w:t>
      </w:r>
      <w:r>
        <w:rPr>
          <w:rFonts w:hint="eastAsia" w:ascii="方正仿宋_GBK" w:hAnsi="宋体" w:eastAsia="方正仿宋_GBK"/>
          <w:color w:val="auto"/>
          <w:sz w:val="28"/>
          <w:szCs w:val="28"/>
        </w:rPr>
        <w:t>月</w:t>
      </w:r>
      <w:r>
        <w:rPr>
          <w:rFonts w:hint="eastAsia" w:ascii="方正仿宋_GBK" w:hAnsi="宋体" w:eastAsia="方正仿宋_GBK"/>
          <w:color w:val="auto"/>
          <w:sz w:val="28"/>
          <w:szCs w:val="28"/>
          <w:lang w:val="en-US" w:eastAsia="zh-CN"/>
        </w:rPr>
        <w:t>19</w:t>
      </w:r>
      <w:bookmarkStart w:id="33" w:name="_GoBack"/>
      <w:bookmarkEnd w:id="33"/>
      <w:r>
        <w:rPr>
          <w:rFonts w:hint="eastAsia" w:ascii="方正仿宋_GBK" w:hAnsi="宋体" w:eastAsia="方正仿宋_GBK"/>
          <w:color w:val="auto"/>
          <w:sz w:val="28"/>
          <w:szCs w:val="28"/>
          <w:lang w:val="en-US" w:eastAsia="zh-CN"/>
        </w:rPr>
        <w:t xml:space="preserve"> </w:t>
      </w:r>
      <w:r>
        <w:rPr>
          <w:rFonts w:hint="eastAsia" w:ascii="方正仿宋_GBK" w:hAnsi="宋体" w:eastAsia="方正仿宋_GBK"/>
          <w:color w:val="auto"/>
          <w:sz w:val="28"/>
          <w:szCs w:val="28"/>
        </w:rPr>
        <w:t>日</w:t>
      </w:r>
      <w:r>
        <w:rPr>
          <w:rFonts w:hint="eastAsia" w:ascii="方正仿宋_GBK" w:hAnsi="宋体" w:eastAsia="方正仿宋_GBK"/>
          <w:color w:val="auto"/>
          <w:sz w:val="28"/>
          <w:szCs w:val="28"/>
          <w:lang w:val="en-US" w:eastAsia="zh-CN"/>
        </w:rPr>
        <w:t>15：00（北京时间）</w:t>
      </w:r>
    </w:p>
    <w:p>
      <w:pPr>
        <w:numPr>
          <w:ilvl w:val="0"/>
          <w:numId w:val="1"/>
        </w:numPr>
        <w:snapToGrid w:val="0"/>
        <w:spacing w:line="380" w:lineRule="exact"/>
        <w:ind w:left="425" w:leftChars="0" w:hanging="425" w:firstLineChars="0"/>
        <w:outlineLvl w:val="9"/>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评审地点：重庆市荣昌区人民医院行政楼3楼会议室（一）。</w:t>
      </w:r>
    </w:p>
    <w:p>
      <w:pPr>
        <w:snapToGrid w:val="0"/>
        <w:spacing w:line="400" w:lineRule="exact"/>
        <w:ind w:firstLine="560" w:firstLineChars="200"/>
        <w:rPr>
          <w:rFonts w:hint="eastAsia" w:ascii="方正黑体_GBK" w:hAnsi="宋体" w:eastAsia="方正黑体_GBK"/>
          <w:color w:val="auto"/>
          <w:sz w:val="28"/>
          <w:szCs w:val="28"/>
          <w:lang w:eastAsia="zh-CN"/>
        </w:rPr>
      </w:pPr>
      <w:r>
        <w:rPr>
          <w:rFonts w:hint="eastAsia" w:ascii="方正黑体_GBK" w:hAnsi="宋体" w:eastAsia="方正黑体_GBK"/>
          <w:color w:val="auto"/>
          <w:sz w:val="28"/>
          <w:szCs w:val="28"/>
          <w:lang w:eastAsia="zh-CN"/>
        </w:rPr>
        <w:t>四、评审方式及相关说明</w:t>
      </w:r>
    </w:p>
    <w:p>
      <w:pPr>
        <w:spacing w:line="560" w:lineRule="exact"/>
        <w:ind w:firstLine="560" w:firstLineChars="200"/>
        <w:rPr>
          <w:rFonts w:hint="eastAsia"/>
          <w:color w:val="auto"/>
          <w:sz w:val="28"/>
          <w:szCs w:val="28"/>
          <w:u w:val="single"/>
        </w:rPr>
      </w:pPr>
      <w:r>
        <w:rPr>
          <w:rFonts w:hint="eastAsia"/>
          <w:color w:val="auto"/>
          <w:sz w:val="28"/>
          <w:szCs w:val="28"/>
          <w:u w:val="single"/>
          <w:lang w:val="en-US" w:eastAsia="zh-CN"/>
        </w:rPr>
        <w:t>1、</w:t>
      </w:r>
      <w:r>
        <w:rPr>
          <w:rFonts w:hint="eastAsia"/>
          <w:color w:val="auto"/>
          <w:sz w:val="28"/>
          <w:szCs w:val="28"/>
          <w:u w:val="single"/>
        </w:rPr>
        <w:t>最低价</w:t>
      </w:r>
      <w:r>
        <w:rPr>
          <w:rFonts w:hint="eastAsia"/>
          <w:color w:val="auto"/>
          <w:sz w:val="28"/>
          <w:szCs w:val="28"/>
          <w:u w:val="single"/>
          <w:lang w:eastAsia="zh-CN"/>
        </w:rPr>
        <w:t>评审</w:t>
      </w:r>
      <w:r>
        <w:rPr>
          <w:rFonts w:hint="eastAsia"/>
          <w:color w:val="auto"/>
          <w:sz w:val="28"/>
          <w:szCs w:val="28"/>
          <w:u w:val="single"/>
        </w:rPr>
        <w:t>法，经评审符合要求的最低报价供应商为成交供应商。</w:t>
      </w:r>
    </w:p>
    <w:p>
      <w:pPr>
        <w:spacing w:line="560" w:lineRule="exact"/>
        <w:ind w:firstLine="560" w:firstLineChars="200"/>
        <w:rPr>
          <w:rFonts w:hint="eastAsia" w:eastAsia="宋体"/>
          <w:color w:val="auto"/>
          <w:sz w:val="28"/>
          <w:szCs w:val="28"/>
          <w:u w:val="single"/>
          <w:lang w:val="en-US" w:eastAsia="zh-CN"/>
        </w:rPr>
      </w:pPr>
      <w:r>
        <w:rPr>
          <w:rFonts w:hint="eastAsia"/>
          <w:color w:val="auto"/>
          <w:sz w:val="28"/>
          <w:szCs w:val="28"/>
          <w:u w:val="single"/>
          <w:lang w:val="en-US" w:eastAsia="zh-CN"/>
        </w:rPr>
        <w:t>2、响应供应商法定代表人或授权人未参加评审过程的视为认同评审结果。</w:t>
      </w:r>
    </w:p>
    <w:p>
      <w:pPr>
        <w:snapToGrid w:val="0"/>
        <w:spacing w:line="400" w:lineRule="exact"/>
        <w:ind w:firstLine="560" w:firstLineChars="200"/>
        <w:rPr>
          <w:rFonts w:hint="eastAsia" w:ascii="方正黑体_GBK" w:hAnsi="宋体" w:eastAsia="方正黑体_GBK"/>
          <w:color w:val="auto"/>
          <w:sz w:val="28"/>
          <w:szCs w:val="28"/>
        </w:rPr>
      </w:pPr>
      <w:r>
        <w:rPr>
          <w:rFonts w:hint="eastAsia" w:ascii="方正黑体_GBK" w:hAnsi="宋体" w:eastAsia="方正黑体_GBK"/>
          <w:color w:val="auto"/>
          <w:sz w:val="28"/>
          <w:szCs w:val="28"/>
        </w:rPr>
        <w:t>五、项目参数（必须全部满足）</w:t>
      </w:r>
    </w:p>
    <w:p>
      <w:pPr>
        <w:spacing w:before="156" w:line="400" w:lineRule="exact"/>
        <w:ind w:firstLine="562"/>
        <w:jc w:val="center"/>
        <w:outlineLvl w:val="0"/>
        <w:rPr>
          <w:rFonts w:hint="eastAsia" w:ascii="宋体" w:hAnsi="宋体" w:eastAsia="宋体"/>
          <w:b/>
          <w:bCs/>
          <w:sz w:val="24"/>
          <w:lang w:val="en-US" w:eastAsia="zh-CN"/>
        </w:rPr>
      </w:pPr>
      <w:r>
        <w:rPr>
          <w:rFonts w:hint="eastAsia" w:ascii="宋体" w:hAnsi="宋体"/>
          <w:b/>
          <w:bCs/>
          <w:sz w:val="28"/>
          <w:lang w:eastAsia="zh-CN"/>
        </w:rPr>
        <w:t>生物安全柜</w:t>
      </w:r>
    </w:p>
    <w:p>
      <w:pPr>
        <w:widowControl/>
        <w:spacing w:before="75" w:after="75"/>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1、</w:t>
      </w:r>
      <w:r>
        <w:rPr>
          <w:rFonts w:hint="eastAsia" w:ascii="方正仿宋_GBK" w:hAnsi="方正仿宋_GBK" w:eastAsia="方正仿宋_GBK" w:cs="方正仿宋_GBK"/>
          <w:bCs/>
          <w:kern w:val="0"/>
          <w:sz w:val="24"/>
        </w:rPr>
        <w:t>技术参数</w:t>
      </w:r>
    </w:p>
    <w:p>
      <w:pPr>
        <w:widowControl/>
        <w:spacing w:before="75" w:after="75"/>
        <w:ind w:firstLine="120" w:firstLineChars="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1.</w:t>
      </w:r>
      <w:r>
        <w:rPr>
          <w:rFonts w:hint="eastAsia" w:ascii="方正仿宋_GBK" w:hAnsi="方正仿宋_GBK" w:eastAsia="方正仿宋_GBK" w:cs="方正仿宋_GBK"/>
          <w:bCs/>
          <w:kern w:val="0"/>
          <w:sz w:val="24"/>
        </w:rPr>
        <w:t>1、安全柜基本参数：</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分类：100%外排， </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外部尺寸≥（L×D×H）1100mm×750mm×2250mm；</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内部尺寸≥（L×D×H）940mm ×600mm×660mm</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台面距离地面高度：</w:t>
      </w:r>
      <w:r>
        <w:rPr>
          <w:rFonts w:hint="eastAsia" w:ascii="方正仿宋_GBK" w:hAnsi="方正仿宋_GBK" w:eastAsia="方正仿宋_GBK" w:cs="方正仿宋_GBK"/>
          <w:bCs/>
          <w:kern w:val="0"/>
          <w:sz w:val="24"/>
          <w:lang w:eastAsia="zh-CN"/>
        </w:rPr>
        <w:t>≥</w:t>
      </w:r>
      <w:r>
        <w:rPr>
          <w:rFonts w:hint="eastAsia" w:ascii="方正仿宋_GBK" w:hAnsi="方正仿宋_GBK" w:eastAsia="方正仿宋_GBK" w:cs="方正仿宋_GBK"/>
          <w:bCs/>
          <w:kern w:val="0"/>
          <w:sz w:val="24"/>
        </w:rPr>
        <w:t>750mm（尺寸可根据要求订制修改）</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风速： 平均下降风速：0.33±0.025m/s； 平均吸入口风速0.53±0.025m/s</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系统排风总量：</w:t>
      </w:r>
      <w:r>
        <w:rPr>
          <w:rFonts w:hint="eastAsia" w:ascii="方正仿宋_GBK" w:hAnsi="方正仿宋_GBK" w:eastAsia="方正仿宋_GBK" w:cs="方正仿宋_GBK"/>
          <w:bCs/>
          <w:kern w:val="0"/>
          <w:sz w:val="24"/>
          <w:lang w:eastAsia="zh-CN"/>
        </w:rPr>
        <w:t>≥</w:t>
      </w:r>
      <w:r>
        <w:rPr>
          <w:rFonts w:hint="eastAsia" w:ascii="方正仿宋_GBK" w:hAnsi="方正仿宋_GBK" w:eastAsia="方正仿宋_GBK" w:cs="方正仿宋_GBK"/>
          <w:bCs/>
          <w:kern w:val="0"/>
          <w:sz w:val="24"/>
        </w:rPr>
        <w:t>880 m3/h</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额定功率：1300W（包含操作区插座负载500W）</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噪音等级：≤65dB（A）</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照明：≥1000lx</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过滤效率:</w:t>
      </w:r>
      <w:r>
        <w:rPr>
          <w:rFonts w:hint="eastAsia" w:ascii="方正仿宋_GBK" w:hAnsi="方正仿宋_GBK" w:eastAsia="方正仿宋_GBK" w:cs="方正仿宋_GBK"/>
          <w:i w:val="0"/>
          <w:caps w:val="0"/>
          <w:color w:val="222222"/>
          <w:spacing w:val="0"/>
          <w:sz w:val="24"/>
          <w:szCs w:val="24"/>
          <w:shd w:val="clear" w:color="auto" w:fill="FFFFFF"/>
        </w:rPr>
        <w:t>送风和排风过滤器均采用世界知名品牌的硼硅酸盐玻璃纤维材质的ULPA高效过滤器，对0.12μm颗粒过滤效率≥99.9995%</w:t>
      </w:r>
      <w:r>
        <w:rPr>
          <w:rFonts w:hint="eastAsia" w:ascii="方正仿宋_GBK" w:hAnsi="方正仿宋_GBK" w:eastAsia="方正仿宋_GBK" w:cs="方正仿宋_GBK"/>
          <w:bCs/>
          <w:kern w:val="0"/>
          <w:sz w:val="24"/>
        </w:rPr>
        <w:t>（99.9995%）</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产品标准：YZB/国6407-2012  （YY0569-2011  II级生物安全柜）</w:t>
      </w:r>
    </w:p>
    <w:p>
      <w:pPr>
        <w:widowControl/>
        <w:numPr>
          <w:ilvl w:val="2"/>
          <w:numId w:val="2"/>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使用人数：单人</w:t>
      </w:r>
    </w:p>
    <w:p>
      <w:pPr>
        <w:widowControl/>
        <w:spacing w:before="75" w:after="75" w:line="276" w:lineRule="auto"/>
        <w:ind w:firstLine="120" w:firstLineChars="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1.</w:t>
      </w:r>
      <w:r>
        <w:rPr>
          <w:rFonts w:hint="eastAsia" w:ascii="方正仿宋_GBK" w:hAnsi="方正仿宋_GBK" w:eastAsia="方正仿宋_GBK" w:cs="方正仿宋_GBK"/>
          <w:bCs/>
          <w:kern w:val="0"/>
          <w:sz w:val="24"/>
        </w:rPr>
        <w:t>2、生物安全性：</w:t>
      </w:r>
    </w:p>
    <w:p>
      <w:pPr>
        <w:widowControl/>
        <w:numPr>
          <w:ilvl w:val="2"/>
          <w:numId w:val="3"/>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（1） 人员安全性：用碘化钾（KI）法测试，前窗操作口的保护因子应不小于1×10</w:t>
      </w:r>
      <w:r>
        <w:rPr>
          <w:rFonts w:hint="eastAsia" w:ascii="方正仿宋_GBK" w:hAnsi="方正仿宋_GBK" w:eastAsia="方正仿宋_GBK" w:cs="方正仿宋_GBK"/>
          <w:kern w:val="0"/>
          <w:sz w:val="24"/>
          <w:vertAlign w:val="superscript"/>
        </w:rPr>
        <w:t>5</w:t>
      </w:r>
      <w:r>
        <w:rPr>
          <w:rFonts w:hint="eastAsia" w:ascii="方正仿宋_GBK" w:hAnsi="方正仿宋_GBK" w:eastAsia="方正仿宋_GBK" w:cs="方正仿宋_GBK"/>
          <w:bCs/>
          <w:kern w:val="0"/>
          <w:sz w:val="24"/>
        </w:rPr>
        <w:t xml:space="preserve"> </w:t>
      </w:r>
    </w:p>
    <w:p>
      <w:pPr>
        <w:widowControl/>
        <w:numPr>
          <w:ilvl w:val="2"/>
          <w:numId w:val="3"/>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（2） 产品安全性：菌落数≤5CFU/次 </w:t>
      </w:r>
    </w:p>
    <w:p>
      <w:pPr>
        <w:widowControl/>
        <w:numPr>
          <w:ilvl w:val="2"/>
          <w:numId w:val="3"/>
        </w:numPr>
        <w:spacing w:before="75" w:after="75" w:line="276" w:lineRule="auto"/>
        <w:ind w:left="1508" w:leftChars="0" w:hanging="708"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（3） 交叉污染安全性：菌落数≤2CFU/次</w:t>
      </w:r>
    </w:p>
    <w:p>
      <w:pPr>
        <w:widowControl/>
        <w:spacing w:before="75" w:after="75" w:line="276" w:lineRule="auto"/>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w:t>
      </w:r>
      <w:r>
        <w:rPr>
          <w:rFonts w:hint="eastAsia" w:ascii="方正仿宋_GBK" w:hAnsi="方正仿宋_GBK" w:eastAsia="方正仿宋_GBK" w:cs="方正仿宋_GBK"/>
          <w:bCs/>
          <w:kern w:val="0"/>
          <w:sz w:val="24"/>
        </w:rPr>
        <w:t>、结构功能特点：</w:t>
      </w:r>
    </w:p>
    <w:p>
      <w:pPr>
        <w:widowControl/>
        <w:spacing w:before="75" w:after="75" w:line="276" w:lineRule="auto"/>
        <w:ind w:left="1034" w:leftChars="264" w:hanging="480" w:hangingChars="20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2.1</w:t>
      </w:r>
      <w:r>
        <w:rPr>
          <w:rFonts w:hint="eastAsia" w:ascii="方正仿宋_GBK" w:hAnsi="方正仿宋_GBK" w:eastAsia="方正仿宋_GBK" w:cs="方正仿宋_GBK"/>
          <w:bCs/>
          <w:kern w:val="0"/>
          <w:sz w:val="24"/>
        </w:rPr>
        <w:t xml:space="preserve">、柜体采用10°倾斜角设计，符合人体工程学原理，视角更大，操作方便且更加人性化；   </w:t>
      </w:r>
    </w:p>
    <w:p>
      <w:pPr>
        <w:widowControl/>
        <w:spacing w:before="75" w:after="75" w:line="276" w:lineRule="auto"/>
        <w:ind w:left="915" w:leftChars="150" w:hanging="600" w:hangingChars="2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2.2</w:t>
      </w:r>
      <w:r>
        <w:rPr>
          <w:rFonts w:hint="eastAsia" w:ascii="方正仿宋_GBK" w:hAnsi="方正仿宋_GBK" w:eastAsia="方正仿宋_GBK" w:cs="方正仿宋_GBK"/>
          <w:bCs/>
          <w:kern w:val="0"/>
          <w:sz w:val="24"/>
        </w:rPr>
        <w:t>、安全柜裸露工作区三侧壁板采用优质304#不锈钢一体化结构，内部可清洗部位采用8mm大圆角处理，不留死角，易于清洁；</w:t>
      </w:r>
    </w:p>
    <w:p>
      <w:pPr>
        <w:widowControl/>
        <w:spacing w:before="75" w:after="75" w:line="276" w:lineRule="auto"/>
        <w:ind w:left="990" w:leftChars="300" w:hanging="360" w:hangingChars="1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2.3</w:t>
      </w:r>
      <w:r>
        <w:rPr>
          <w:rFonts w:hint="eastAsia" w:ascii="方正仿宋_GBK" w:hAnsi="方正仿宋_GBK" w:eastAsia="方正仿宋_GBK" w:cs="方正仿宋_GBK"/>
          <w:bCs/>
          <w:kern w:val="0"/>
          <w:sz w:val="24"/>
        </w:rPr>
        <w:t>、工作区采用四面（左右二侧、后部、底部）负压环绕设计工作区内，保护性更好、更安全；</w:t>
      </w:r>
    </w:p>
    <w:p>
      <w:pPr>
        <w:widowControl/>
        <w:spacing w:before="75" w:after="75" w:line="276" w:lineRule="auto"/>
        <w:ind w:left="1005" w:leftChars="250" w:hanging="480" w:hangingChars="20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2.4</w:t>
      </w:r>
      <w:r>
        <w:rPr>
          <w:rFonts w:hint="eastAsia" w:ascii="方正仿宋_GBK" w:hAnsi="方正仿宋_GBK" w:eastAsia="方正仿宋_GBK" w:cs="方正仿宋_GBK"/>
          <w:bCs/>
          <w:kern w:val="0"/>
          <w:sz w:val="24"/>
        </w:rPr>
        <w:t>、工作台面材质为优质304#不锈钢，采用盆状式设计，即使实验有废液溢出，也不会流入积液槽中，便于清理；</w:t>
      </w:r>
    </w:p>
    <w:p>
      <w:pPr>
        <w:widowControl/>
        <w:spacing w:before="75" w:after="75" w:line="276" w:lineRule="auto"/>
        <w:ind w:left="945" w:leftChars="50" w:hanging="840" w:hangingChars="3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 xml:space="preserve"> 2.5</w:t>
      </w:r>
      <w:r>
        <w:rPr>
          <w:rFonts w:hint="eastAsia" w:ascii="方正仿宋_GBK" w:hAnsi="方正仿宋_GBK" w:eastAsia="方正仿宋_GBK" w:cs="方正仿宋_GBK"/>
          <w:bCs/>
          <w:kern w:val="0"/>
          <w:sz w:val="24"/>
        </w:rPr>
        <w:t>、福马脚轮设计：脚轮与支架一体化设计，安全柜即可通过脚轮安全移动，也可以通过调节脚轮支脚进行固定和调平；</w:t>
      </w:r>
    </w:p>
    <w:p>
      <w:pPr>
        <w:widowControl/>
        <w:spacing w:before="75" w:after="75" w:line="276" w:lineRule="auto"/>
        <w:ind w:firstLine="283" w:firstLineChars="118"/>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 xml:space="preserve"> </w:t>
      </w: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2.6</w:t>
      </w:r>
      <w:r>
        <w:rPr>
          <w:rFonts w:hint="eastAsia" w:ascii="方正仿宋_GBK" w:hAnsi="方正仿宋_GBK" w:eastAsia="方正仿宋_GBK" w:cs="方正仿宋_GBK"/>
          <w:bCs/>
          <w:kern w:val="0"/>
          <w:sz w:val="24"/>
        </w:rPr>
        <w:t>、柜体和支架可分离，支架高度可根据实际情况订制修改；</w:t>
      </w:r>
    </w:p>
    <w:p>
      <w:pPr>
        <w:widowControl/>
        <w:spacing w:before="75" w:after="75" w:line="276" w:lineRule="auto"/>
        <w:ind w:left="968" w:leftChars="118" w:hanging="720" w:hangingChars="30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2.7</w:t>
      </w:r>
      <w:r>
        <w:rPr>
          <w:rFonts w:hint="eastAsia" w:ascii="方正仿宋_GBK" w:hAnsi="方正仿宋_GBK" w:eastAsia="方正仿宋_GBK" w:cs="方正仿宋_GBK"/>
          <w:bCs/>
          <w:kern w:val="0"/>
          <w:sz w:val="24"/>
        </w:rPr>
        <w:t>、合理的结构设计：安全柜过滤器和风机的维修、更换，都可在安全柜的前侧进行，更加方便、快捷。</w:t>
      </w:r>
    </w:p>
    <w:p>
      <w:pPr>
        <w:widowControl/>
        <w:spacing w:before="75" w:after="75" w:line="276" w:lineRule="auto"/>
        <w:ind w:left="982" w:leftChars="182" w:hanging="600" w:hangingChars="2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 xml:space="preserve"> </w:t>
      </w: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2.8</w:t>
      </w:r>
      <w:r>
        <w:rPr>
          <w:rFonts w:hint="eastAsia" w:ascii="方正仿宋_GBK" w:hAnsi="方正仿宋_GBK" w:eastAsia="方正仿宋_GBK" w:cs="方正仿宋_GBK"/>
          <w:bCs/>
          <w:kern w:val="0"/>
          <w:sz w:val="24"/>
        </w:rPr>
        <w:t>、前窗玻璃采用双层夹胶防爆安全玻璃；即使玻璃破损，也不会伤人，并且生物安全柜还能正常工作，直到实验结束，更好的保护了人员及实验的安全；</w:t>
      </w:r>
    </w:p>
    <w:p>
      <w:pPr>
        <w:widowControl/>
        <w:spacing w:before="75" w:after="75" w:line="276" w:lineRule="auto"/>
        <w:ind w:left="848" w:leftChars="118" w:hanging="600" w:hangingChars="2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 xml:space="preserve"> </w:t>
      </w: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2.9</w:t>
      </w:r>
      <w:r>
        <w:rPr>
          <w:rFonts w:hint="eastAsia" w:ascii="方正仿宋_GBK" w:hAnsi="方正仿宋_GBK" w:eastAsia="方正仿宋_GBK" w:cs="方正仿宋_GBK"/>
          <w:bCs/>
          <w:kern w:val="0"/>
          <w:sz w:val="24"/>
        </w:rPr>
        <w:t>、高亮度LCD显示屏,实时动态显示操作区的下降气流流速和流入气流流速，显示安全柜的整体运行时间，UV灯的运行时间，操作区的温度和湿度，送风和排风过滤器的阻力，显示过滤器的使用时间并由条码显示过滤器的使用寿命，条码全部点亮是过滤器寿命到期，运行状态全部显示,一目了然；</w:t>
      </w:r>
    </w:p>
    <w:p>
      <w:pPr>
        <w:widowControl/>
        <w:spacing w:before="75" w:after="75" w:line="276" w:lineRule="auto"/>
        <w:ind w:left="848" w:leftChars="118" w:hanging="600" w:hangingChars="2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 xml:space="preserve"> 2.</w:t>
      </w:r>
      <w:r>
        <w:rPr>
          <w:rFonts w:hint="eastAsia" w:ascii="方正仿宋_GBK" w:hAnsi="方正仿宋_GBK" w:eastAsia="方正仿宋_GBK" w:cs="方正仿宋_GBK"/>
          <w:bCs/>
          <w:kern w:val="0"/>
          <w:sz w:val="24"/>
        </w:rPr>
        <w:t>1</w:t>
      </w:r>
      <w:r>
        <w:rPr>
          <w:rFonts w:hint="eastAsia" w:ascii="方正仿宋_GBK" w:hAnsi="方正仿宋_GBK" w:eastAsia="方正仿宋_GBK" w:cs="方正仿宋_GBK"/>
          <w:bCs/>
          <w:kern w:val="0"/>
          <w:sz w:val="24"/>
          <w:lang w:val="en-US" w:eastAsia="zh-CN"/>
        </w:rPr>
        <w:t>0</w:t>
      </w:r>
      <w:r>
        <w:rPr>
          <w:rFonts w:hint="eastAsia" w:ascii="方正仿宋_GBK" w:hAnsi="方正仿宋_GBK" w:eastAsia="方正仿宋_GBK" w:cs="方正仿宋_GBK"/>
          <w:bCs/>
          <w:kern w:val="0"/>
          <w:sz w:val="24"/>
        </w:rPr>
        <w:t>、电动控制前窗玻璃门，可同时采用脚踏控制、按键控制或遥控控制，玻璃门升降到安全操作高度时，自动停止升降，使操作更加方便；且玻璃门升降时不用直接接触玻璃，使实验人员更安全；</w:t>
      </w:r>
    </w:p>
    <w:p>
      <w:pPr>
        <w:widowControl/>
        <w:spacing w:before="75" w:after="75" w:line="276" w:lineRule="auto"/>
        <w:ind w:left="848" w:leftChars="118" w:hanging="600" w:hangingChars="2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2.</w:t>
      </w:r>
      <w:r>
        <w:rPr>
          <w:rFonts w:hint="eastAsia" w:ascii="方正仿宋_GBK" w:hAnsi="方正仿宋_GBK" w:eastAsia="方正仿宋_GBK" w:cs="方正仿宋_GBK"/>
          <w:bCs/>
          <w:kern w:val="0"/>
          <w:sz w:val="24"/>
        </w:rPr>
        <w:t>1</w:t>
      </w:r>
      <w:r>
        <w:rPr>
          <w:rFonts w:hint="eastAsia" w:ascii="方正仿宋_GBK" w:hAnsi="方正仿宋_GBK" w:eastAsia="方正仿宋_GBK" w:cs="方正仿宋_GBK"/>
          <w:bCs/>
          <w:kern w:val="0"/>
          <w:sz w:val="24"/>
          <w:lang w:val="en-US" w:eastAsia="zh-CN"/>
        </w:rPr>
        <w:t>1</w:t>
      </w:r>
      <w:r>
        <w:rPr>
          <w:rFonts w:hint="eastAsia" w:ascii="方正仿宋_GBK" w:hAnsi="方正仿宋_GBK" w:eastAsia="方正仿宋_GBK" w:cs="方正仿宋_GBK"/>
          <w:bCs/>
          <w:kern w:val="0"/>
          <w:sz w:val="24"/>
        </w:rPr>
        <w:t>、遥控控制：安全柜的所有按键操作，都可通过遥控控制实现，使安全柜的使用更加快捷方便；且遥控器的使用，大大减少了使用者与安全柜的直接接触，更加保护了使用者的人身安全；</w:t>
      </w:r>
    </w:p>
    <w:p>
      <w:pPr>
        <w:widowControl/>
        <w:spacing w:before="75" w:after="75" w:line="276" w:lineRule="auto"/>
        <w:ind w:left="848" w:leftChars="118" w:hanging="600" w:hangingChars="2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2.</w:t>
      </w:r>
      <w:r>
        <w:rPr>
          <w:rFonts w:hint="eastAsia" w:ascii="方正仿宋_GBK" w:hAnsi="方正仿宋_GBK" w:eastAsia="方正仿宋_GBK" w:cs="方正仿宋_GBK"/>
          <w:bCs/>
          <w:kern w:val="0"/>
          <w:sz w:val="24"/>
        </w:rPr>
        <w:t>1</w:t>
      </w:r>
      <w:r>
        <w:rPr>
          <w:rFonts w:hint="eastAsia" w:ascii="方正仿宋_GBK" w:hAnsi="方正仿宋_GBK" w:eastAsia="方正仿宋_GBK" w:cs="方正仿宋_GBK"/>
          <w:bCs/>
          <w:kern w:val="0"/>
          <w:sz w:val="24"/>
          <w:lang w:val="en-US" w:eastAsia="zh-CN"/>
        </w:rPr>
        <w:t>2</w:t>
      </w:r>
      <w:r>
        <w:rPr>
          <w:rFonts w:hint="eastAsia" w:ascii="方正仿宋_GBK" w:hAnsi="方正仿宋_GBK" w:eastAsia="方正仿宋_GBK" w:cs="方正仿宋_GBK"/>
          <w:bCs/>
          <w:kern w:val="0"/>
          <w:sz w:val="24"/>
        </w:rPr>
        <w:t>、具有预约定时功能，能自动设定安全柜定时开机、关机及紫外灯消毒时间，大大节省了工作时间，提高了工作效率；</w:t>
      </w:r>
    </w:p>
    <w:p>
      <w:pPr>
        <w:widowControl/>
        <w:spacing w:before="75" w:after="75" w:line="276" w:lineRule="auto"/>
        <w:ind w:firstLine="523" w:firstLineChars="218"/>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w:t>
      </w:r>
      <w:r>
        <w:rPr>
          <w:rFonts w:hint="eastAsia" w:ascii="方正仿宋_GBK" w:hAnsi="方正仿宋_GBK" w:eastAsia="方正仿宋_GBK" w:cs="方正仿宋_GBK"/>
          <w:bCs/>
          <w:kern w:val="0"/>
          <w:sz w:val="24"/>
        </w:rPr>
        <w:t>1</w:t>
      </w:r>
      <w:r>
        <w:rPr>
          <w:rFonts w:hint="eastAsia" w:ascii="方正仿宋_GBK" w:hAnsi="方正仿宋_GBK" w:eastAsia="方正仿宋_GBK" w:cs="方正仿宋_GBK"/>
          <w:bCs/>
          <w:kern w:val="0"/>
          <w:sz w:val="24"/>
          <w:lang w:val="en-US" w:eastAsia="zh-CN"/>
        </w:rPr>
        <w:t>3</w:t>
      </w:r>
      <w:r>
        <w:rPr>
          <w:rFonts w:hint="eastAsia" w:ascii="方正仿宋_GBK" w:hAnsi="方正仿宋_GBK" w:eastAsia="方正仿宋_GBK" w:cs="方正仿宋_GBK"/>
          <w:bCs/>
          <w:kern w:val="0"/>
          <w:sz w:val="24"/>
        </w:rPr>
        <w:t>、严格的气密性检测：安全柜内加压500Pa，保持30min后气压不低于450Pa。</w:t>
      </w:r>
    </w:p>
    <w:p>
      <w:pPr>
        <w:widowControl/>
        <w:spacing w:before="75" w:after="75" w:line="276" w:lineRule="auto"/>
        <w:ind w:firstLine="523" w:firstLineChars="218"/>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w:t>
      </w:r>
      <w:r>
        <w:rPr>
          <w:rFonts w:hint="eastAsia" w:ascii="方正仿宋_GBK" w:hAnsi="方正仿宋_GBK" w:eastAsia="方正仿宋_GBK" w:cs="方正仿宋_GBK"/>
          <w:bCs/>
          <w:kern w:val="0"/>
          <w:sz w:val="24"/>
        </w:rPr>
        <w:t>1</w:t>
      </w:r>
      <w:r>
        <w:rPr>
          <w:rFonts w:hint="eastAsia" w:ascii="方正仿宋_GBK" w:hAnsi="方正仿宋_GBK" w:eastAsia="方正仿宋_GBK" w:cs="方正仿宋_GBK"/>
          <w:bCs/>
          <w:kern w:val="0"/>
          <w:sz w:val="24"/>
          <w:lang w:val="en-US" w:eastAsia="zh-CN"/>
        </w:rPr>
        <w:t>4</w:t>
      </w:r>
      <w:r>
        <w:rPr>
          <w:rFonts w:hint="eastAsia" w:ascii="方正仿宋_GBK" w:hAnsi="方正仿宋_GBK" w:eastAsia="方正仿宋_GBK" w:cs="方正仿宋_GBK"/>
          <w:bCs/>
          <w:kern w:val="0"/>
          <w:sz w:val="24"/>
        </w:rPr>
        <w:t>、前窗气流隔断设计：防止了气流通过前窗侧壁及上侧进行泄露，使试验更加安全；</w:t>
      </w:r>
    </w:p>
    <w:p>
      <w:pPr>
        <w:widowControl/>
        <w:spacing w:before="75" w:after="75" w:line="276" w:lineRule="auto"/>
        <w:ind w:left="563" w:leftChars="268"/>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w:t>
      </w:r>
      <w:r>
        <w:rPr>
          <w:rFonts w:hint="eastAsia" w:ascii="方正仿宋_GBK" w:hAnsi="方正仿宋_GBK" w:eastAsia="方正仿宋_GBK" w:cs="方正仿宋_GBK"/>
          <w:bCs/>
          <w:kern w:val="0"/>
          <w:sz w:val="24"/>
        </w:rPr>
        <w:t>1</w:t>
      </w:r>
      <w:r>
        <w:rPr>
          <w:rFonts w:hint="eastAsia" w:ascii="方正仿宋_GBK" w:hAnsi="方正仿宋_GBK" w:eastAsia="方正仿宋_GBK" w:cs="方正仿宋_GBK"/>
          <w:bCs/>
          <w:kern w:val="0"/>
          <w:sz w:val="24"/>
          <w:lang w:val="en-US" w:eastAsia="zh-CN"/>
        </w:rPr>
        <w:t>5</w:t>
      </w:r>
      <w:r>
        <w:rPr>
          <w:rFonts w:hint="eastAsia" w:ascii="方正仿宋_GBK" w:hAnsi="方正仿宋_GBK" w:eastAsia="方正仿宋_GBK" w:cs="方正仿宋_GBK"/>
          <w:bCs/>
          <w:kern w:val="0"/>
          <w:sz w:val="24"/>
        </w:rPr>
        <w:t>、优良的风机选用：风机的电机当安全柜在正常运行而不调整电机的速度控制，经过滤器的风压下降50%时，风机的排气量下降不超过10%</w:t>
      </w:r>
    </w:p>
    <w:p>
      <w:pPr>
        <w:widowControl/>
        <w:spacing w:before="75" w:after="75" w:line="276" w:lineRule="auto"/>
        <w:ind w:firstLine="480" w:firstLineChars="20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w:t>
      </w:r>
      <w:r>
        <w:rPr>
          <w:rFonts w:hint="eastAsia" w:ascii="方正仿宋_GBK" w:hAnsi="方正仿宋_GBK" w:eastAsia="方正仿宋_GBK" w:cs="方正仿宋_GBK"/>
          <w:bCs/>
          <w:kern w:val="0"/>
          <w:sz w:val="24"/>
        </w:rPr>
        <w:t>1</w:t>
      </w:r>
      <w:r>
        <w:rPr>
          <w:rFonts w:hint="eastAsia" w:ascii="方正仿宋_GBK" w:hAnsi="方正仿宋_GBK" w:eastAsia="方正仿宋_GBK" w:cs="方正仿宋_GBK"/>
          <w:bCs/>
          <w:kern w:val="0"/>
          <w:sz w:val="24"/>
          <w:lang w:val="en-US" w:eastAsia="zh-CN"/>
        </w:rPr>
        <w:t>6</w:t>
      </w:r>
      <w:r>
        <w:rPr>
          <w:rFonts w:hint="eastAsia" w:ascii="方正仿宋_GBK" w:hAnsi="方正仿宋_GBK" w:eastAsia="方正仿宋_GBK" w:cs="方正仿宋_GBK"/>
          <w:bCs/>
          <w:kern w:val="0"/>
          <w:sz w:val="24"/>
        </w:rPr>
        <w:t>、完善的报警系统：</w:t>
      </w:r>
    </w:p>
    <w:p>
      <w:pPr>
        <w:widowControl/>
        <w:spacing w:before="75" w:after="75" w:line="276" w:lineRule="auto"/>
        <w:ind w:left="1335" w:leftChars="350" w:hanging="600" w:hangingChars="2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2.16.1</w:t>
      </w:r>
      <w:r>
        <w:rPr>
          <w:rFonts w:hint="eastAsia" w:ascii="方正仿宋_GBK" w:hAnsi="方正仿宋_GBK" w:eastAsia="方正仿宋_GBK" w:cs="方正仿宋_GBK"/>
          <w:bCs/>
          <w:kern w:val="0"/>
          <w:sz w:val="24"/>
        </w:rPr>
        <w:t>玻璃门不在安全高度报警：玻璃门安全高度为200mm，当安全柜前侧高于或低于安全高度时，安全柜会声光报警；</w:t>
      </w:r>
    </w:p>
    <w:p>
      <w:pPr>
        <w:widowControl/>
        <w:spacing w:before="75" w:after="75" w:line="276" w:lineRule="auto"/>
        <w:ind w:firstLine="720" w:firstLineChars="30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2.16.2</w:t>
      </w:r>
      <w:r>
        <w:rPr>
          <w:rFonts w:hint="eastAsia" w:ascii="方正仿宋_GBK" w:hAnsi="方正仿宋_GBK" w:eastAsia="方正仿宋_GBK" w:cs="方正仿宋_GBK"/>
          <w:bCs/>
          <w:kern w:val="0"/>
          <w:sz w:val="24"/>
        </w:rPr>
        <w:t>过滤器压力超高报警：当过滤器的阻力变大，安全柜会声光报警</w:t>
      </w:r>
    </w:p>
    <w:p>
      <w:pPr>
        <w:widowControl/>
        <w:spacing w:before="75" w:after="75" w:line="276" w:lineRule="auto"/>
        <w:ind w:firstLine="720" w:firstLineChars="30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2.16.3</w:t>
      </w:r>
      <w:r>
        <w:rPr>
          <w:rFonts w:hint="eastAsia" w:ascii="方正仿宋_GBK" w:hAnsi="方正仿宋_GBK" w:eastAsia="方正仿宋_GBK" w:cs="方正仿宋_GBK"/>
          <w:bCs/>
          <w:kern w:val="0"/>
          <w:sz w:val="24"/>
        </w:rPr>
        <w:t>过滤器失效更换报警：当过滤器寿命使用到期后，会有过滤器更换声光报警；</w:t>
      </w:r>
    </w:p>
    <w:p>
      <w:pPr>
        <w:widowControl/>
        <w:spacing w:before="75" w:after="75" w:line="276" w:lineRule="auto"/>
        <w:ind w:firstLine="720" w:firstLineChars="30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2.16.4</w:t>
      </w:r>
      <w:r>
        <w:rPr>
          <w:rFonts w:hint="eastAsia" w:ascii="方正仿宋_GBK" w:hAnsi="方正仿宋_GBK" w:eastAsia="方正仿宋_GBK" w:cs="方正仿宋_GBK"/>
          <w:bCs/>
          <w:kern w:val="0"/>
          <w:sz w:val="24"/>
        </w:rPr>
        <w:t>气流波动报警：当安全柜的气流波动超过标称值的20%时，声光报警，</w:t>
      </w:r>
    </w:p>
    <w:p>
      <w:pPr>
        <w:widowControl/>
        <w:spacing w:before="75" w:after="75" w:line="276" w:lineRule="auto"/>
        <w:ind w:left="315" w:leftChars="150" w:firstLine="120" w:firstLineChars="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w:t>
      </w:r>
      <w:r>
        <w:rPr>
          <w:rFonts w:hint="eastAsia" w:ascii="方正仿宋_GBK" w:hAnsi="方正仿宋_GBK" w:eastAsia="方正仿宋_GBK" w:cs="方正仿宋_GBK"/>
          <w:bCs/>
          <w:kern w:val="0"/>
          <w:sz w:val="24"/>
        </w:rPr>
        <w:t>1</w:t>
      </w:r>
      <w:r>
        <w:rPr>
          <w:rFonts w:hint="eastAsia" w:ascii="方正仿宋_GBK" w:hAnsi="方正仿宋_GBK" w:eastAsia="方正仿宋_GBK" w:cs="方正仿宋_GBK"/>
          <w:bCs/>
          <w:kern w:val="0"/>
          <w:sz w:val="24"/>
          <w:lang w:val="en-US" w:eastAsia="zh-CN"/>
        </w:rPr>
        <w:t>7</w:t>
      </w:r>
      <w:r>
        <w:rPr>
          <w:rFonts w:hint="eastAsia" w:ascii="方正仿宋_GBK" w:hAnsi="方正仿宋_GBK" w:eastAsia="方正仿宋_GBK" w:cs="方正仿宋_GBK"/>
          <w:bCs/>
          <w:kern w:val="0"/>
          <w:sz w:val="24"/>
        </w:rPr>
        <w:t>、安全的连锁保护设计：对误操作均设置连锁保护，即使误操作，也不会造成伤害</w:t>
      </w:r>
    </w:p>
    <w:p>
      <w:pPr>
        <w:widowControl/>
        <w:spacing w:before="75" w:after="75" w:line="276" w:lineRule="auto"/>
        <w:ind w:left="531" w:leftChars="253" w:firstLine="240" w:firstLineChars="10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2.17.1</w:t>
      </w:r>
      <w:r>
        <w:rPr>
          <w:rFonts w:hint="eastAsia" w:ascii="方正仿宋_GBK" w:hAnsi="方正仿宋_GBK" w:eastAsia="方正仿宋_GBK" w:cs="方正仿宋_GBK"/>
          <w:bCs/>
          <w:kern w:val="0"/>
          <w:sz w:val="24"/>
        </w:rPr>
        <w:t>安全柜风机与玻璃门互锁：当安全柜玻璃门落到最底部时，安全柜风机自动关闭，更改保护了安全柜的使用，增加了安全柜的使用寿命</w:t>
      </w:r>
    </w:p>
    <w:p>
      <w:pPr>
        <w:widowControl/>
        <w:spacing w:before="75" w:after="75" w:line="276" w:lineRule="auto"/>
        <w:ind w:left="586" w:leftChars="279" w:firstLine="240" w:firstLineChars="10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2.17.2</w:t>
      </w:r>
      <w:r>
        <w:rPr>
          <w:rFonts w:hint="eastAsia" w:ascii="方正仿宋_GBK" w:hAnsi="方正仿宋_GBK" w:eastAsia="方正仿宋_GBK" w:cs="方正仿宋_GBK"/>
          <w:bCs/>
          <w:kern w:val="0"/>
          <w:sz w:val="24"/>
        </w:rPr>
        <w:t>紫外灯与安全柜玻璃门、风机及照明灯互锁：当玻璃落到底部且照明灯不开启时，紫外灯才能开启，防止紫外灯误操作对人体造成危害，更加保护了人员的安全；</w:t>
      </w:r>
    </w:p>
    <w:p>
      <w:pPr>
        <w:widowControl/>
        <w:spacing w:before="75" w:after="75" w:line="276" w:lineRule="auto"/>
        <w:ind w:firstLine="120" w:firstLineChars="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 xml:space="preserve"> </w:t>
      </w:r>
      <w:r>
        <w:rPr>
          <w:rFonts w:hint="eastAsia" w:ascii="方正仿宋_GBK" w:hAnsi="方正仿宋_GBK" w:eastAsia="方正仿宋_GBK" w:cs="方正仿宋_GBK"/>
          <w:bCs/>
          <w:kern w:val="0"/>
          <w:sz w:val="24"/>
          <w:lang w:val="en-US" w:eastAsia="zh-CN"/>
        </w:rPr>
        <w:t>3</w:t>
      </w:r>
      <w:r>
        <w:rPr>
          <w:rFonts w:hint="eastAsia" w:ascii="方正仿宋_GBK" w:hAnsi="方正仿宋_GBK" w:eastAsia="方正仿宋_GBK" w:cs="方正仿宋_GBK"/>
          <w:bCs/>
          <w:kern w:val="0"/>
          <w:sz w:val="24"/>
        </w:rPr>
        <w:t>、资格证明和技术文件</w:t>
      </w:r>
    </w:p>
    <w:p>
      <w:pPr>
        <w:widowControl/>
        <w:numPr>
          <w:ilvl w:val="1"/>
          <w:numId w:val="4"/>
        </w:numPr>
        <w:spacing w:before="75" w:after="75" w:line="276" w:lineRule="auto"/>
        <w:ind w:left="748" w:leftChars="0" w:hanging="567"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ISO9001质量管理认证</w:t>
      </w:r>
    </w:p>
    <w:p>
      <w:pPr>
        <w:widowControl/>
        <w:numPr>
          <w:ilvl w:val="1"/>
          <w:numId w:val="4"/>
        </w:numPr>
        <w:spacing w:before="75" w:after="75" w:line="276" w:lineRule="auto"/>
        <w:ind w:left="748" w:leftChars="0" w:hanging="567"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ISO14001环境管理体系认证</w:t>
      </w:r>
    </w:p>
    <w:p>
      <w:pPr>
        <w:widowControl/>
        <w:numPr>
          <w:ilvl w:val="1"/>
          <w:numId w:val="4"/>
        </w:numPr>
        <w:spacing w:before="75" w:after="75" w:line="276" w:lineRule="auto"/>
        <w:ind w:left="748" w:leftChars="0" w:hanging="567" w:firstLineChars="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国家食品药品监督管理局核发的生物安全柜产品注册证</w:t>
      </w:r>
    </w:p>
    <w:p>
      <w:pPr>
        <w:widowControl/>
        <w:spacing w:before="75" w:after="75" w:line="276" w:lineRule="auto"/>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lang w:val="en-US" w:eastAsia="zh-CN"/>
        </w:rPr>
        <w:t>4</w:t>
      </w:r>
      <w:r>
        <w:rPr>
          <w:rFonts w:hint="eastAsia" w:ascii="方正仿宋_GBK" w:hAnsi="方正仿宋_GBK" w:eastAsia="方正仿宋_GBK" w:cs="方正仿宋_GBK"/>
          <w:bCs/>
          <w:kern w:val="0"/>
          <w:sz w:val="24"/>
        </w:rPr>
        <w:t>、设备配置清单</w:t>
      </w:r>
    </w:p>
    <w:p>
      <w:pPr>
        <w:widowControl/>
        <w:spacing w:before="75" w:after="75" w:line="276" w:lineRule="auto"/>
        <w:ind w:firstLine="360" w:firstLineChars="150"/>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主机1台、底座1套、内风机1台、外排风机1台、送风过滤器1套、排风过滤器1套、国标插座2个、遥控器1件、脚踏开关1件、紫外灯1件、照明灯2件</w:t>
      </w:r>
    </w:p>
    <w:p>
      <w:pPr>
        <w:numPr>
          <w:ilvl w:val="0"/>
          <w:numId w:val="0"/>
        </w:numPr>
        <w:spacing w:before="156"/>
        <w:jc w:val="center"/>
        <w:rPr>
          <w:rFonts w:hint="eastAsia" w:ascii="方正仿宋_GBK" w:hAnsi="宋体" w:eastAsia="方正仿宋_GBK"/>
          <w:b/>
          <w:bCs/>
          <w:color w:val="auto"/>
          <w:sz w:val="28"/>
          <w:szCs w:val="28"/>
          <w:lang w:eastAsia="zh-CN"/>
        </w:rPr>
      </w:pPr>
      <w:r>
        <w:rPr>
          <w:rFonts w:hint="eastAsia" w:ascii="方正仿宋_GBK" w:hAnsi="宋体" w:eastAsia="方正仿宋_GBK"/>
          <w:b/>
          <w:bCs/>
          <w:color w:val="auto"/>
          <w:sz w:val="28"/>
          <w:szCs w:val="28"/>
          <w:lang w:eastAsia="zh-CN"/>
        </w:rPr>
        <w:t>空气压力循环治疗仪</w:t>
      </w:r>
    </w:p>
    <w:p>
      <w:pPr>
        <w:numPr>
          <w:ilvl w:val="0"/>
          <w:numId w:val="5"/>
        </w:num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具有国家规定的医疗器械产品注册证。</w:t>
      </w:r>
    </w:p>
    <w:p>
      <w:pPr>
        <w:numPr>
          <w:ilvl w:val="0"/>
          <w:numId w:val="5"/>
        </w:numPr>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产品通过CMD认证，ISO13485和ISO9001质量体系认证。</w:t>
      </w:r>
    </w:p>
    <w:p>
      <w:pPr>
        <w:numPr>
          <w:ilvl w:val="0"/>
          <w:numId w:val="5"/>
        </w:numPr>
        <w:spacing w:line="440" w:lineRule="exact"/>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适用范围：</w:t>
      </w:r>
    </w:p>
    <w:p>
      <w:p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3.1适用于脑血管意外、脑外伤、脑手术后、脊髓病变引起的肢体功能障碍和外周非栓塞性脉管炎的辅助治疗、以及预防静脉血栓形成，减轻肢体水肿。</w:t>
      </w:r>
    </w:p>
    <w:p>
      <w:pPr>
        <w:numPr>
          <w:ilvl w:val="0"/>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b/>
          <w:bCs/>
          <w:sz w:val="24"/>
        </w:rPr>
        <w:t>性能参数：</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5.7英寸LCD液晶触摸显示屏，参数显示直观，操作简单快捷；</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8种专业空气波充气模式，M1~M8模式可自由选择，满足医院不同患者使用，可根据患者病情选择治疗模式；</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单气压通道，单电疗通道，专业双通道设计，电疗气压两用一体机；</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内置两种神经肌肉电刺激模式（F1和F2），可起到肌肉泵作用，加强治疗效果；F1肌肉泵模式，F2锻炼骨骼肌模式；</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通过专业设计，可选择空气波压力疗法和电刺激疗法单独使用或者联动使用，大大提高了治疗的安全性；</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配备一分一和一分二的充气导管，连接一分二导管时可以同时连接2个4腔气囊，同时治疗两个部位，可以达到两个通道一样的治疗效果；</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特制叠加式四层结构气囊，有效地规避了出现压力死角，使挤压更有效；</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环形封闭式气囊设计，充气加压时形成圆形正向加压，不增加出血可能；</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配备4腔上肢气囊、下肢气囊等多种不同形式气囊选配；</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配备专业一分四电疗输出线1根和特制硅胶电极片8套，用以电疗使用；</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设备压强可在5-25Kpa（38-188mmHg）范围内连续可调，气压单位Kpa和mmHg可进行转换；</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特制充气气泵，有效地降低噪声，使用时产生的噪声≤60dB，震动幅度小，充气速度快，充气所用时间短；</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治疗时间1min-99min连续可调，满足临床上的治疗需求；</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设备内置压力传感器：不同肢体维度的患者，可以达到同等的治疗压力，保证了不同患者治疗效果相同；</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实时压力监测系统：可实现仪器设备充气时，每腔压力实时监测，实时显示当前腔道压力，避免加压过大，造成静脉瓣膜受损；</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过压保护系统：充气过程中，如若外界压力过大则自动泄压保护，避免压力过大导致患者损伤；</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断电保护功能：若在充气时，突然出现停电、断电的现象，仪器会自动泄压保护，避免对患者造成损伤；</w:t>
      </w:r>
    </w:p>
    <w:p>
      <w:pPr>
        <w:numPr>
          <w:ilvl w:val="1"/>
          <w:numId w:val="5"/>
        </w:numPr>
        <w:spacing w:line="4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主机外壳采用ABS作为主要材质，坚固耐磨；气套采用TPU+尼龙布的材质，坚韧不易损坏，同时质地柔软，保证患者治疗时的舒适感；</w:t>
      </w:r>
    </w:p>
    <w:p>
      <w:pPr>
        <w:numPr>
          <w:ilvl w:val="0"/>
          <w:numId w:val="0"/>
        </w:numPr>
        <w:spacing w:before="156"/>
        <w:ind w:left="407" w:leftChars="0"/>
        <w:rPr>
          <w:rFonts w:hint="eastAsia"/>
          <w:lang w:eastAsia="zh-CN"/>
        </w:rPr>
      </w:pPr>
    </w:p>
    <w:p>
      <w:pPr>
        <w:snapToGrid w:val="0"/>
        <w:spacing w:line="400" w:lineRule="exact"/>
        <w:rPr>
          <w:rFonts w:ascii="方正黑体_GBK" w:hAnsi="宋体" w:eastAsia="方正黑体_GBK"/>
          <w:color w:val="auto"/>
          <w:sz w:val="28"/>
          <w:szCs w:val="28"/>
        </w:rPr>
      </w:pPr>
      <w:r>
        <w:rPr>
          <w:rFonts w:hint="eastAsia" w:ascii="方正黑体_GBK" w:hAnsi="宋体" w:eastAsia="方正黑体_GBK"/>
          <w:color w:val="auto"/>
          <w:sz w:val="28"/>
          <w:szCs w:val="28"/>
        </w:rPr>
        <w:t>六、商务要求（必须全部满足）</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（一）交货时间、地点及验收方式</w:t>
      </w:r>
    </w:p>
    <w:p>
      <w:pPr>
        <w:snapToGrid w:val="0"/>
        <w:spacing w:line="400" w:lineRule="exact"/>
        <w:ind w:firstLine="480" w:firstLineChars="200"/>
        <w:rPr>
          <w:rFonts w:ascii="方正仿宋_GBK" w:hAnsi="宋体" w:eastAsia="方正仿宋_GBK"/>
          <w:color w:val="auto"/>
          <w:sz w:val="24"/>
          <w:u w:val="single"/>
        </w:rPr>
      </w:pPr>
      <w:r>
        <w:rPr>
          <w:rFonts w:hint="eastAsia" w:ascii="方正仿宋_GBK" w:hAnsi="宋体" w:eastAsia="方正仿宋_GBK"/>
          <w:color w:val="auto"/>
          <w:sz w:val="24"/>
          <w:u w:val="single"/>
        </w:rPr>
        <w:t>1.交货时间</w:t>
      </w:r>
    </w:p>
    <w:p>
      <w:pPr>
        <w:snapToGrid w:val="0"/>
        <w:spacing w:line="400" w:lineRule="exact"/>
        <w:ind w:firstLine="480" w:firstLineChars="200"/>
        <w:rPr>
          <w:rFonts w:ascii="方正仿宋_GBK" w:hAnsi="宋体" w:eastAsia="方正仿宋_GBK"/>
          <w:color w:val="auto"/>
          <w:sz w:val="24"/>
          <w:u w:val="single"/>
        </w:rPr>
      </w:pPr>
      <w:r>
        <w:rPr>
          <w:rFonts w:hint="eastAsia" w:ascii="方正仿宋_GBK" w:hAnsi="宋体" w:eastAsia="方正仿宋_GBK"/>
          <w:color w:val="auto"/>
          <w:sz w:val="24"/>
          <w:u w:val="single"/>
          <w:lang w:val="zh-CN"/>
        </w:rPr>
        <w:t>采购合同签订后30个日历日以内全部交货并完成安装调试</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2.交货地点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交货地点：重庆市</w:t>
      </w:r>
      <w:r>
        <w:rPr>
          <w:rFonts w:hint="eastAsia" w:ascii="方正仿宋_GBK" w:hAnsi="宋体" w:eastAsia="方正仿宋_GBK"/>
          <w:color w:val="auto"/>
          <w:sz w:val="24"/>
          <w:lang w:val="zh-CN"/>
        </w:rPr>
        <w:t>荣昌区人民医院指定地点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3.验收方式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（2）成交供应商应保证货物到达采购人所在地完好无损，如有缺漏、损坏，由供应商负责调换、补齐或赔偿。</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color w:val="auto"/>
          <w:sz w:val="24"/>
        </w:rPr>
        <w:t>性能指标达到规定的标准。</w:t>
      </w:r>
      <w:r>
        <w:rPr>
          <w:rFonts w:hint="eastAsia" w:ascii="方正仿宋_GBK" w:hAnsi="宋体" w:eastAsia="方正仿宋_GBK"/>
          <w:color w:val="auto"/>
          <w:sz w:val="24"/>
        </w:rPr>
        <w:t>成交供应商不得擅自调整、更换设备的品牌、型号和质量等。</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B、货物技术资料、装箱单、合格证等资料齐全。</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C、在规定时间内完成交货并验收，并经采购人确认。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（4）产品经安装调试并运行正常。</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（7）产品包装材料归采购人所有。</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（8）本采购项目的设计、制造、配置、检验及验收应符合中华人民共和国现行的有关国家标准和法规（含行标或专业标准）。</w:t>
      </w:r>
    </w:p>
    <w:p>
      <w:pPr>
        <w:pStyle w:val="3"/>
        <w:spacing w:before="0" w:after="0" w:line="400" w:lineRule="exact"/>
        <w:rPr>
          <w:rFonts w:ascii="方正仿宋_GBK" w:hAnsi="宋体" w:eastAsia="方正仿宋_GBK"/>
          <w:color w:val="auto"/>
          <w:sz w:val="24"/>
          <w:szCs w:val="24"/>
        </w:rPr>
      </w:pPr>
      <w:bookmarkStart w:id="1" w:name="_Toc344475121"/>
      <w:bookmarkStart w:id="2" w:name="_Toc511909616"/>
      <w:r>
        <w:rPr>
          <w:rFonts w:hint="eastAsia" w:ascii="方正仿宋_GBK" w:hAnsi="宋体" w:eastAsia="方正仿宋_GBK"/>
          <w:color w:val="auto"/>
          <w:sz w:val="24"/>
          <w:szCs w:val="24"/>
        </w:rPr>
        <w:t>（二）质量保证及服务</w:t>
      </w:r>
      <w:bookmarkEnd w:id="1"/>
      <w:bookmarkEnd w:id="2"/>
      <w:r>
        <w:rPr>
          <w:rFonts w:hint="eastAsia" w:ascii="方正仿宋_GBK" w:hAnsi="宋体" w:eastAsia="方正仿宋_GBK"/>
          <w:color w:val="auto"/>
          <w:sz w:val="24"/>
          <w:szCs w:val="24"/>
        </w:rPr>
        <w:t>要求</w:t>
      </w:r>
    </w:p>
    <w:p>
      <w:pPr>
        <w:snapToGrid w:val="0"/>
        <w:spacing w:line="400" w:lineRule="exact"/>
        <w:ind w:firstLine="482" w:firstLineChars="200"/>
        <w:rPr>
          <w:rFonts w:ascii="方正仿宋_GBK" w:hAnsi="宋体" w:eastAsia="方正仿宋_GBK"/>
          <w:b/>
          <w:color w:val="auto"/>
          <w:sz w:val="24"/>
          <w:u w:val="single"/>
        </w:rPr>
      </w:pPr>
      <w:bookmarkStart w:id="3" w:name="_Toc511909617"/>
      <w:bookmarkStart w:id="4" w:name="_Toc344475122"/>
      <w:r>
        <w:rPr>
          <w:rFonts w:hint="eastAsia" w:ascii="方正仿宋_GBK" w:hAnsi="宋体" w:eastAsia="方正仿宋_GBK"/>
          <w:b/>
          <w:color w:val="auto"/>
          <w:sz w:val="24"/>
          <w:u w:val="single"/>
        </w:rPr>
        <w:t>产品质量保证期</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1、供应商应明确承诺：产品质保期</w:t>
      </w:r>
      <w:r>
        <w:rPr>
          <w:rFonts w:hint="eastAsia" w:ascii="仿宋" w:hAnsi="仿宋" w:eastAsia="仿宋" w:cs="仿宋"/>
          <w:color w:val="auto"/>
          <w:sz w:val="24"/>
        </w:rPr>
        <w:t>≥</w:t>
      </w:r>
      <w:r>
        <w:rPr>
          <w:rFonts w:hint="eastAsia" w:ascii="仿宋" w:hAnsi="仿宋" w:eastAsia="仿宋" w:cs="仿宋"/>
          <w:color w:val="auto"/>
          <w:sz w:val="24"/>
          <w:lang w:val="en-US" w:eastAsia="zh-CN"/>
        </w:rPr>
        <w:t>2</w:t>
      </w:r>
      <w:r>
        <w:rPr>
          <w:rFonts w:hint="eastAsia" w:ascii="方正仿宋_GBK" w:hAnsi="宋体" w:eastAsia="方正仿宋_GBK"/>
          <w:color w:val="auto"/>
          <w:sz w:val="24"/>
        </w:rPr>
        <w:t>年</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供应商需保证所提供的货物是全新的、未使用过的，是完全符合合同规定的质量、规格和性能要求的。</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2、投标产品属于国家规定“三包”范围的，其产品质量保证期不得低于“三包”规定。</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3、供应商的质量保证期承诺优于国家“三包”规定的，按供应商实际承诺执行。</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ascii="方正仿宋_GBK" w:hAnsi="宋体" w:eastAsia="方正仿宋_GBK"/>
          <w:b/>
          <w:color w:val="auto"/>
          <w:sz w:val="24"/>
          <w:u w:val="single"/>
        </w:rPr>
      </w:pPr>
      <w:r>
        <w:rPr>
          <w:rFonts w:hint="eastAsia" w:ascii="方正仿宋_GBK" w:hAnsi="宋体" w:eastAsia="方正仿宋_GBK"/>
          <w:b/>
          <w:color w:val="auto"/>
          <w:sz w:val="24"/>
          <w:u w:val="single"/>
        </w:rPr>
        <w:t>售后服务内容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1、供应商和制造商在质量保证期内应当为采购人提供以下技术支持和服务：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（1）电话咨询</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（2）现场响应</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成交供应商或制造商</w:t>
      </w:r>
      <w:r>
        <w:rPr>
          <w:rFonts w:ascii="方正仿宋_GBK" w:hAnsi="宋体" w:eastAsia="方正仿宋_GBK"/>
          <w:color w:val="auto"/>
          <w:sz w:val="24"/>
          <w:lang w:val="zh-CN"/>
        </w:rPr>
        <w:t>必须在</w:t>
      </w:r>
      <w:r>
        <w:rPr>
          <w:rFonts w:hint="eastAsia" w:ascii="方正仿宋_GBK" w:hAnsi="宋体" w:eastAsia="方正仿宋_GBK"/>
          <w:color w:val="auto"/>
          <w:sz w:val="24"/>
          <w:lang w:val="zh-CN"/>
        </w:rPr>
        <w:t>重庆</w:t>
      </w:r>
      <w:r>
        <w:rPr>
          <w:rFonts w:ascii="方正仿宋_GBK" w:hAnsi="宋体" w:eastAsia="方正仿宋_GBK"/>
          <w:color w:val="auto"/>
          <w:sz w:val="24"/>
          <w:lang w:val="zh-CN"/>
        </w:rPr>
        <w:t>市有独立的原厂售后服务机构，并能提供</w:t>
      </w:r>
      <w:r>
        <w:rPr>
          <w:rFonts w:ascii="方正仿宋_GBK" w:hAnsi="宋体" w:eastAsia="方正仿宋_GBK"/>
          <w:color w:val="auto"/>
          <w:sz w:val="24"/>
        </w:rPr>
        <w:t>7×24</w:t>
      </w:r>
      <w:r>
        <w:rPr>
          <w:rFonts w:ascii="方正仿宋_GBK" w:hAnsi="宋体" w:eastAsia="方正仿宋_GBK"/>
          <w:color w:val="auto"/>
          <w:sz w:val="24"/>
          <w:lang w:val="zh-CN"/>
        </w:rPr>
        <w:t>小时技术支持与服务。设备出现故障时必须在</w:t>
      </w:r>
      <w:r>
        <w:rPr>
          <w:rFonts w:ascii="方正仿宋_GBK" w:hAnsi="宋体" w:eastAsia="方正仿宋_GBK"/>
          <w:color w:val="auto"/>
          <w:sz w:val="24"/>
        </w:rPr>
        <w:t xml:space="preserve"> 2</w:t>
      </w:r>
      <w:r>
        <w:rPr>
          <w:rFonts w:ascii="方正仿宋_GBK" w:hAnsi="宋体" w:eastAsia="方正仿宋_GBK"/>
          <w:color w:val="auto"/>
          <w:sz w:val="24"/>
          <w:lang w:val="zh-CN"/>
        </w:rPr>
        <w:t>小时内对需方所提出的维修要求做出响应，</w:t>
      </w:r>
      <w:r>
        <w:rPr>
          <w:rFonts w:hint="eastAsia" w:ascii="方正仿宋_GBK" w:hAnsi="宋体" w:eastAsia="方正仿宋_GBK"/>
          <w:color w:val="auto"/>
          <w:sz w:val="24"/>
          <w:lang w:val="zh-CN"/>
        </w:rPr>
        <w:t>重庆</w:t>
      </w:r>
      <w:r>
        <w:rPr>
          <w:rFonts w:ascii="方正仿宋_GBK" w:hAnsi="宋体" w:eastAsia="方正仿宋_GBK"/>
          <w:color w:val="auto"/>
          <w:sz w:val="24"/>
          <w:lang w:val="zh-CN"/>
        </w:rPr>
        <w:t>市当地2小时到达设备现场并于</w:t>
      </w:r>
      <w:r>
        <w:rPr>
          <w:rFonts w:hint="eastAsia" w:ascii="方正仿宋_GBK" w:hAnsi="宋体" w:eastAsia="方正仿宋_GBK"/>
          <w:color w:val="auto"/>
          <w:sz w:val="24"/>
          <w:lang w:val="zh-CN"/>
        </w:rPr>
        <w:t>12</w:t>
      </w:r>
      <w:r>
        <w:rPr>
          <w:rFonts w:ascii="方正仿宋_GBK" w:hAnsi="宋体" w:eastAsia="方正仿宋_GBK"/>
          <w:color w:val="auto"/>
          <w:sz w:val="24"/>
          <w:lang w:val="zh-CN"/>
        </w:rPr>
        <w:t>小时内修复</w:t>
      </w:r>
      <w:r>
        <w:rPr>
          <w:rFonts w:hint="eastAsia" w:ascii="方正仿宋_GBK" w:hAnsi="宋体" w:eastAsia="方正仿宋_GBK"/>
          <w:color w:val="auto"/>
          <w:sz w:val="24"/>
          <w:lang w:val="zh-CN"/>
        </w:rPr>
        <w:t>。</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（3）技术升级</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2、质保期外服务要求</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（1）质量保证期过后，供应商和制造商应同样提供免费电话咨询服务，并应承诺提供产品上门维护服务。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ascii="方正仿宋_GBK" w:hAnsi="宋体" w:eastAsia="方正仿宋_GBK"/>
          <w:b/>
          <w:color w:val="auto"/>
          <w:sz w:val="24"/>
          <w:u w:val="single"/>
        </w:rPr>
      </w:pPr>
      <w:r>
        <w:rPr>
          <w:rFonts w:hint="eastAsia" w:ascii="方正仿宋_GBK" w:hAnsi="宋体" w:eastAsia="方正仿宋_GBK"/>
          <w:b/>
          <w:color w:val="auto"/>
          <w:sz w:val="24"/>
          <w:u w:val="single"/>
        </w:rPr>
        <w:t>备品备件及易损件</w:t>
      </w:r>
    </w:p>
    <w:p>
      <w:pPr>
        <w:snapToGrid w:val="0"/>
        <w:spacing w:line="400" w:lineRule="exact"/>
        <w:ind w:firstLine="480" w:firstLineChars="200"/>
        <w:rPr>
          <w:rFonts w:ascii="仿宋" w:eastAsia="仿宋" w:cs="宋体"/>
          <w:color w:val="auto"/>
          <w:kern w:val="0"/>
          <w:sz w:val="24"/>
        </w:rPr>
      </w:pPr>
      <w:r>
        <w:rPr>
          <w:rFonts w:hint="eastAsia" w:ascii="方正仿宋_GBK" w:hAnsi="宋体" w:eastAsia="方正仿宋_GBK"/>
          <w:color w:val="auto"/>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spacing w:before="0" w:after="0"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（三）报价要求</w:t>
      </w:r>
      <w:bookmarkEnd w:id="3"/>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报价包括完成本项目所需的设备或货物购买（制造）费、辅材费、运输费、装卸费、安装调试费、培训费及各种应纳的税费。因成交供应商自身原因造成漏报、少报皆由其自行承担责任，采购人不再补偿。</w:t>
      </w:r>
    </w:p>
    <w:p>
      <w:pPr>
        <w:pStyle w:val="3"/>
        <w:spacing w:before="0" w:after="0" w:line="400" w:lineRule="exact"/>
        <w:rPr>
          <w:rFonts w:ascii="方正仿宋_GBK" w:hAnsi="宋体" w:eastAsia="方正仿宋_GBK"/>
          <w:color w:val="auto"/>
          <w:sz w:val="24"/>
          <w:szCs w:val="24"/>
        </w:rPr>
      </w:pPr>
      <w:bookmarkStart w:id="5" w:name="_Toc511909618"/>
      <w:r>
        <w:rPr>
          <w:rFonts w:hint="eastAsia" w:ascii="方正仿宋_GBK" w:hAnsi="宋体" w:eastAsia="方正仿宋_GBK"/>
          <w:color w:val="auto"/>
          <w:sz w:val="24"/>
          <w:szCs w:val="24"/>
        </w:rPr>
        <w:t>（四）付款方式</w:t>
      </w:r>
      <w:bookmarkEnd w:id="4"/>
      <w:bookmarkEnd w:id="5"/>
      <w:bookmarkStart w:id="6" w:name="_Toc511909619"/>
      <w:bookmarkStart w:id="7" w:name="_Toc344475123"/>
      <w:r>
        <w:rPr>
          <w:rFonts w:hint="eastAsia" w:ascii="方正仿宋_GBK" w:hAnsi="宋体" w:eastAsia="方正仿宋_GBK"/>
          <w:color w:val="auto"/>
          <w:sz w:val="24"/>
          <w:szCs w:val="24"/>
        </w:rPr>
        <w:t xml:space="preserve">  </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安装验收合格后30日内支付合同金额95％。余款5％作为质保金，质保期满后无息一次性付清。</w:t>
      </w:r>
    </w:p>
    <w:p>
      <w:pPr>
        <w:pStyle w:val="3"/>
        <w:spacing w:before="0" w:after="0"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（五）知识产权</w:t>
      </w:r>
      <w:bookmarkEnd w:id="6"/>
      <w:bookmarkEnd w:id="7"/>
    </w:p>
    <w:p>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spacing w:before="0" w:after="0" w:line="400" w:lineRule="exact"/>
        <w:rPr>
          <w:rFonts w:ascii="方正仿宋_GBK" w:hAnsi="宋体" w:eastAsia="方正仿宋_GBK"/>
          <w:color w:val="auto"/>
          <w:sz w:val="24"/>
          <w:szCs w:val="24"/>
        </w:rPr>
      </w:pPr>
      <w:bookmarkStart w:id="8" w:name="_Toc511909620"/>
      <w:bookmarkStart w:id="9" w:name="_Toc344475125"/>
      <w:r>
        <w:rPr>
          <w:rFonts w:hint="eastAsia" w:ascii="方正仿宋_GBK" w:hAnsi="宋体" w:eastAsia="方正仿宋_GBK"/>
          <w:color w:val="auto"/>
          <w:sz w:val="24"/>
          <w:szCs w:val="24"/>
        </w:rPr>
        <w:t>（六）其他</w:t>
      </w:r>
      <w:bookmarkEnd w:id="8"/>
    </w:p>
    <w:bookmarkEnd w:id="9"/>
    <w:p>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（二）其他未尽事宜由供需双方在采购合同中详细约定。</w:t>
      </w: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pStyle w:val="2"/>
        <w:spacing w:before="0" w:after="0" w:line="360" w:lineRule="auto"/>
        <w:jc w:val="left"/>
        <w:rPr>
          <w:rFonts w:hint="eastAsia" w:ascii="方正小标宋_GBK" w:hAnsi="宋体" w:eastAsia="方正小标宋_GBK"/>
          <w:b w:val="0"/>
          <w:color w:val="auto"/>
          <w:sz w:val="36"/>
          <w:szCs w:val="30"/>
        </w:rPr>
      </w:pPr>
      <w:r>
        <w:rPr>
          <w:rFonts w:hint="eastAsia"/>
          <w:color w:val="auto"/>
        </w:rPr>
        <w:t>七、响应文件格式要求</w:t>
      </w:r>
      <w:bookmarkStart w:id="10" w:name="_Toc511909622"/>
      <w:bookmarkStart w:id="11" w:name="_Toc12789072"/>
    </w:p>
    <w:bookmarkEnd w:id="10"/>
    <w:bookmarkEnd w:id="11"/>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一、经济部分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（一）报价函</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（二）明细报价表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二、技术部分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技术响应偏离表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三、服务部分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服务响应偏离表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四、资格条件及其他</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（一）营业执照（副本）或事业单位法人证书（副本）复印件</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（二）组织机构代码证复印件</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（三）法定代表人身份证明书（格式）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（四）法定代表人授权委托书（格式）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（五）书面声明（格式）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（六）特定资格条件证书或证明文件</w:t>
      </w:r>
    </w:p>
    <w:p>
      <w:pPr>
        <w:spacing w:line="440" w:lineRule="exact"/>
        <w:ind w:firstLine="480" w:firstLineChars="200"/>
        <w:rPr>
          <w:rFonts w:ascii="方正仿宋_GBK" w:hAnsi="宋体" w:eastAsia="方正仿宋_GBK"/>
          <w:color w:val="auto"/>
          <w:sz w:val="24"/>
        </w:rPr>
      </w:pPr>
      <w:r>
        <w:rPr>
          <w:rFonts w:hint="eastAsia" w:ascii="方正仿宋_GBK" w:hAnsi="仿宋" w:eastAsia="方正仿宋_GBK"/>
          <w:color w:val="auto"/>
          <w:sz w:val="24"/>
        </w:rPr>
        <w:t>说明：供应商按“五证合一”登记制度办理营业执照的，</w:t>
      </w:r>
      <w:r>
        <w:rPr>
          <w:rFonts w:hint="eastAsia" w:ascii="方正仿宋_GBK" w:hAnsi="仿宋" w:eastAsia="方正仿宋_GBK" w:cs="宋体"/>
          <w:color w:val="auto"/>
          <w:kern w:val="0"/>
          <w:sz w:val="24"/>
        </w:rPr>
        <w:t>组织机构代码证、税务登记证（副本）和社会保险登记证</w:t>
      </w:r>
      <w:r>
        <w:rPr>
          <w:rFonts w:hint="eastAsia" w:ascii="方正仿宋_GBK" w:hAnsi="仿宋" w:eastAsia="方正仿宋_GBK"/>
          <w:color w:val="auto"/>
          <w:sz w:val="24"/>
        </w:rPr>
        <w:t>以供应商所提供的营业执照（副本）复印件为准。</w:t>
      </w:r>
    </w:p>
    <w:p>
      <w:pPr>
        <w:spacing w:line="440" w:lineRule="exact"/>
        <w:ind w:firstLine="482" w:firstLineChars="200"/>
        <w:rPr>
          <w:rFonts w:ascii="方正仿宋_GBK" w:hAnsi="宋体" w:eastAsia="方正仿宋_GBK"/>
          <w:color w:val="auto"/>
          <w:sz w:val="24"/>
        </w:rPr>
      </w:pPr>
      <w:r>
        <w:rPr>
          <w:rFonts w:hint="eastAsia" w:ascii="方正仿宋_GBK" w:hAnsi="宋体" w:eastAsia="方正仿宋_GBK"/>
          <w:b/>
          <w:color w:val="auto"/>
          <w:sz w:val="24"/>
        </w:rPr>
        <w:t>五、其他与项目有关的资料（自附）</w:t>
      </w:r>
    </w:p>
    <w:p>
      <w:pPr>
        <w:snapToGrid w:val="0"/>
        <w:spacing w:line="360" w:lineRule="auto"/>
        <w:rPr>
          <w:rFonts w:ascii="宋体" w:hAnsi="宋体"/>
          <w:color w:val="auto"/>
          <w:sz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ascii="方正仿宋_GBK" w:hAnsi="宋体" w:eastAsia="方正仿宋_GBK"/>
          <w:color w:val="auto"/>
          <w:sz w:val="24"/>
          <w:szCs w:val="24"/>
        </w:rPr>
      </w:pPr>
      <w:bookmarkStart w:id="12" w:name="_Toc511909623"/>
      <w:bookmarkStart w:id="13" w:name="_Toc313888360"/>
      <w:bookmarkStart w:id="14" w:name="_Toc342913419"/>
      <w:bookmarkStart w:id="15" w:name="_Toc313008356"/>
      <w:bookmarkStart w:id="16" w:name="_Toc12789073"/>
      <w:bookmarkStart w:id="17" w:name="_Toc283382454"/>
      <w:r>
        <w:rPr>
          <w:rFonts w:hint="eastAsia" w:ascii="方正仿宋_GBK" w:hAnsi="宋体" w:eastAsia="方正仿宋_GBK"/>
          <w:color w:val="auto"/>
          <w:sz w:val="24"/>
          <w:szCs w:val="24"/>
        </w:rPr>
        <w:t>一、经济部分</w:t>
      </w:r>
      <w:bookmarkEnd w:id="12"/>
      <w:bookmarkEnd w:id="13"/>
      <w:bookmarkEnd w:id="14"/>
      <w:bookmarkEnd w:id="15"/>
    </w:p>
    <w:bookmarkEnd w:id="16"/>
    <w:bookmarkEnd w:id="17"/>
    <w:p>
      <w:pPr>
        <w:tabs>
          <w:tab w:val="left" w:pos="6300"/>
        </w:tabs>
        <w:snapToGrid w:val="0"/>
        <w:spacing w:line="360"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（一）报价函</w:t>
      </w:r>
    </w:p>
    <w:p>
      <w:pPr>
        <w:tabs>
          <w:tab w:val="left" w:pos="6300"/>
        </w:tabs>
        <w:snapToGrid w:val="0"/>
        <w:spacing w:line="480" w:lineRule="exact"/>
        <w:jc w:val="center"/>
        <w:outlineLvl w:val="0"/>
        <w:rPr>
          <w:rFonts w:ascii="方正仿宋_GBK" w:hAnsi="宋体" w:eastAsia="方正仿宋_GBK"/>
          <w:b/>
          <w:color w:val="auto"/>
          <w:sz w:val="28"/>
          <w:szCs w:val="28"/>
        </w:rPr>
      </w:pPr>
      <w:r>
        <w:rPr>
          <w:rFonts w:hint="eastAsia" w:ascii="方正仿宋_GBK" w:hAnsi="宋体" w:eastAsia="方正仿宋_GBK"/>
          <w:b/>
          <w:color w:val="auto"/>
          <w:sz w:val="28"/>
          <w:szCs w:val="28"/>
        </w:rPr>
        <w:t>询价报价函</w:t>
      </w:r>
    </w:p>
    <w:p>
      <w:pPr>
        <w:tabs>
          <w:tab w:val="left" w:pos="6300"/>
        </w:tabs>
        <w:snapToGrid w:val="0"/>
        <w:spacing w:line="312" w:lineRule="auto"/>
        <w:rPr>
          <w:rFonts w:ascii="方正仿宋_GBK" w:hAnsi="宋体" w:eastAsia="方正仿宋_GBK"/>
          <w:color w:val="auto"/>
          <w:sz w:val="24"/>
          <w:u w:val="single"/>
        </w:rPr>
      </w:pPr>
    </w:p>
    <w:p>
      <w:pPr>
        <w:tabs>
          <w:tab w:val="left" w:pos="6300"/>
        </w:tabs>
        <w:snapToGrid w:val="0"/>
        <w:spacing w:line="312" w:lineRule="auto"/>
        <w:rPr>
          <w:rFonts w:ascii="方正仿宋_GBK" w:hAnsi="宋体" w:eastAsia="方正仿宋_GBK"/>
          <w:color w:val="auto"/>
          <w:sz w:val="24"/>
        </w:rPr>
      </w:pPr>
      <w:r>
        <w:rPr>
          <w:rFonts w:hint="eastAsia" w:ascii="方正仿宋_GBK" w:hAnsi="宋体" w:eastAsia="方正仿宋_GBK"/>
          <w:color w:val="auto"/>
          <w:sz w:val="24"/>
          <w:u w:val="single"/>
        </w:rPr>
        <w:t>重庆市荣昌区人民医院</w:t>
      </w:r>
      <w:r>
        <w:rPr>
          <w:rFonts w:hint="eastAsia" w:ascii="方正仿宋_GBK" w:hAnsi="宋体" w:eastAsia="方正仿宋_GBK"/>
          <w:color w:val="auto"/>
          <w:sz w:val="24"/>
        </w:rPr>
        <w:t>：</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1.愿意按照采购文件中的一切要求，提供本项目的交货及技术服务，最终报价为人民币大写：</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元整；人民币小写：</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元。</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2.我方现提交的响应文件为：</w:t>
      </w:r>
      <w:r>
        <w:rPr>
          <w:rFonts w:hint="eastAsia" w:ascii="方正仿宋_GBK" w:hAnsi="宋体" w:eastAsia="方正仿宋_GBK"/>
          <w:color w:val="auto"/>
          <w:sz w:val="24"/>
          <w:lang w:eastAsia="zh-CN"/>
        </w:rPr>
        <w:t>响应文件</w:t>
      </w:r>
      <w:r>
        <w:rPr>
          <w:rFonts w:hint="eastAsia" w:ascii="方正仿宋_GBK" w:hAnsi="宋体" w:eastAsia="方正仿宋_GBK"/>
          <w:color w:val="auto"/>
          <w:sz w:val="24"/>
          <w:u w:val="single"/>
        </w:rPr>
        <w:t>壹</w:t>
      </w:r>
      <w:r>
        <w:rPr>
          <w:rFonts w:hint="eastAsia" w:ascii="方正仿宋_GBK" w:hAnsi="宋体" w:eastAsia="方正仿宋_GBK"/>
          <w:color w:val="auto"/>
          <w:sz w:val="24"/>
        </w:rPr>
        <w:t>份。</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3.我方承诺：本次报价及相应承诺的有效期为90天。</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5.若我方若有违规行为，接受按照《中华人民共和国政府采购法》</w:t>
      </w:r>
      <w:r>
        <w:rPr>
          <w:rFonts w:hint="eastAsia" w:ascii="方正仿宋_GBK" w:hAnsi="宋体" w:eastAsia="方正仿宋_GBK"/>
          <w:color w:val="auto"/>
          <w:sz w:val="24"/>
          <w:lang w:eastAsia="zh-CN"/>
        </w:rPr>
        <w:t>等</w:t>
      </w:r>
      <w:r>
        <w:rPr>
          <w:rFonts w:hint="eastAsia" w:ascii="方正仿宋_GBK" w:hAnsi="宋体" w:eastAsia="方正仿宋_GBK"/>
          <w:color w:val="auto"/>
          <w:sz w:val="24"/>
        </w:rPr>
        <w:t>相关规定的惩罚。</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rPr>
        <w:t>7.</w:t>
      </w:r>
      <w:r>
        <w:rPr>
          <w:rFonts w:hint="eastAsia" w:ascii="方正仿宋_GBK" w:hAnsi="宋体" w:eastAsia="方正仿宋_GBK"/>
          <w:color w:val="auto"/>
          <w:sz w:val="24"/>
          <w:szCs w:val="28"/>
        </w:rPr>
        <w:t>我方未</w:t>
      </w:r>
      <w:r>
        <w:rPr>
          <w:rFonts w:ascii="方正仿宋_GBK" w:hAnsi="宋体" w:eastAsia="方正仿宋_GBK"/>
          <w:color w:val="auto"/>
          <w:sz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 xml:space="preserve">地址：  </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电话：                           传真：</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网址：                           邮编：</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联系人：</w:t>
      </w:r>
    </w:p>
    <w:p>
      <w:pPr>
        <w:snapToGrid w:val="0"/>
        <w:spacing w:line="312" w:lineRule="auto"/>
        <w:ind w:firstLine="480" w:firstLineChars="200"/>
        <w:rPr>
          <w:rFonts w:ascii="方正仿宋_GBK" w:hAnsi="宋体" w:eastAsia="方正仿宋_GBK"/>
          <w:color w:val="auto"/>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 xml:space="preserve">                               年   月   日</w:t>
      </w:r>
    </w:p>
    <w:p>
      <w:pPr>
        <w:tabs>
          <w:tab w:val="left" w:pos="2895"/>
        </w:tabs>
        <w:spacing w:line="360"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（二）明细报价表</w:t>
      </w:r>
    </w:p>
    <w:p>
      <w:pPr>
        <w:jc w:val="center"/>
        <w:rPr>
          <w:rFonts w:ascii="方正仿宋_GBK" w:eastAsia="方正仿宋_GBK"/>
          <w:b/>
          <w:color w:val="auto"/>
          <w:sz w:val="28"/>
          <w:szCs w:val="28"/>
        </w:rPr>
      </w:pPr>
      <w:r>
        <w:rPr>
          <w:rFonts w:hint="eastAsia" w:ascii="方正仿宋_GBK" w:eastAsia="方正仿宋_GBK"/>
          <w:b/>
          <w:color w:val="auto"/>
          <w:sz w:val="28"/>
          <w:szCs w:val="28"/>
        </w:rPr>
        <w:t>明细报价表</w:t>
      </w:r>
    </w:p>
    <w:p>
      <w:pPr>
        <w:spacing w:line="360" w:lineRule="auto"/>
        <w:rPr>
          <w:rFonts w:ascii="方正仿宋_GBK" w:hAnsi="宋体" w:eastAsia="方正仿宋_GBK"/>
          <w:color w:val="auto"/>
          <w:sz w:val="24"/>
        </w:rPr>
      </w:pPr>
      <w:r>
        <w:rPr>
          <w:rFonts w:hint="eastAsia" w:ascii="方正仿宋_GBK" w:hAnsi="宋体" w:eastAsia="方正仿宋_GBK"/>
          <w:color w:val="auto"/>
          <w:sz w:val="24"/>
        </w:rPr>
        <w:t>项目编号：无</w:t>
      </w:r>
    </w:p>
    <w:p>
      <w:pPr>
        <w:spacing w:line="360" w:lineRule="auto"/>
        <w:rPr>
          <w:rFonts w:ascii="方正仿宋_GBK" w:hAnsi="宋体" w:eastAsia="方正仿宋_GBK"/>
          <w:color w:val="auto"/>
          <w:sz w:val="24"/>
          <w:u w:val="single"/>
        </w:rPr>
      </w:pPr>
      <w:r>
        <w:rPr>
          <w:rFonts w:hint="eastAsia" w:ascii="方正仿宋_GBK" w:hAnsi="宋体" w:eastAsia="方正仿宋_GBK"/>
          <w:color w:val="auto"/>
          <w:sz w:val="24"/>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产品名称</w:t>
            </w:r>
          </w:p>
        </w:tc>
        <w:tc>
          <w:tcPr>
            <w:tcW w:w="1721"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品牌及产地</w:t>
            </w:r>
          </w:p>
        </w:tc>
        <w:tc>
          <w:tcPr>
            <w:tcW w:w="1417"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制造商名称</w:t>
            </w:r>
          </w:p>
        </w:tc>
        <w:tc>
          <w:tcPr>
            <w:tcW w:w="1250"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规格型号</w:t>
            </w:r>
          </w:p>
        </w:tc>
        <w:tc>
          <w:tcPr>
            <w:tcW w:w="867"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数量</w:t>
            </w:r>
          </w:p>
        </w:tc>
        <w:tc>
          <w:tcPr>
            <w:tcW w:w="1186" w:type="dxa"/>
            <w:vAlign w:val="center"/>
          </w:tcPr>
          <w:p>
            <w:pPr>
              <w:pStyle w:val="6"/>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单价</w:t>
            </w:r>
          </w:p>
          <w:p>
            <w:pPr>
              <w:pStyle w:val="6"/>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c>
          <w:tcPr>
            <w:tcW w:w="1233"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合计</w:t>
            </w:r>
          </w:p>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1721" w:type="dxa"/>
            <w:tcBorders>
              <w:bottom w:val="single" w:color="auto" w:sz="4" w:space="0"/>
            </w:tcBorders>
            <w:vAlign w:val="center"/>
          </w:tcPr>
          <w:p>
            <w:pPr>
              <w:jc w:val="center"/>
              <w:rPr>
                <w:rFonts w:ascii="方正仿宋_GBK" w:hAnsi="宋体" w:eastAsia="方正仿宋_GBK"/>
                <w:color w:val="auto"/>
                <w:sz w:val="24"/>
                <w:szCs w:val="28"/>
              </w:rPr>
            </w:pPr>
          </w:p>
        </w:tc>
        <w:tc>
          <w:tcPr>
            <w:tcW w:w="1417" w:type="dxa"/>
            <w:tcBorders>
              <w:bottom w:val="single" w:color="auto" w:sz="4" w:space="0"/>
            </w:tcBorders>
            <w:vAlign w:val="center"/>
          </w:tcPr>
          <w:p>
            <w:pPr>
              <w:jc w:val="center"/>
              <w:rPr>
                <w:rFonts w:ascii="方正仿宋_GBK" w:hAnsi="宋体" w:eastAsia="方正仿宋_GBK"/>
                <w:color w:val="auto"/>
                <w:sz w:val="24"/>
                <w:szCs w:val="28"/>
              </w:rPr>
            </w:pPr>
          </w:p>
        </w:tc>
        <w:tc>
          <w:tcPr>
            <w:tcW w:w="1250" w:type="dxa"/>
            <w:tcBorders>
              <w:bottom w:val="single" w:color="auto" w:sz="4" w:space="0"/>
            </w:tcBorders>
            <w:vAlign w:val="center"/>
          </w:tcPr>
          <w:p>
            <w:pPr>
              <w:jc w:val="center"/>
              <w:rPr>
                <w:rFonts w:ascii="方正仿宋_GBK" w:hAnsi="宋体" w:eastAsia="方正仿宋_GBK"/>
                <w:color w:val="auto"/>
                <w:sz w:val="24"/>
                <w:szCs w:val="28"/>
              </w:rPr>
            </w:pPr>
          </w:p>
        </w:tc>
        <w:tc>
          <w:tcPr>
            <w:tcW w:w="867" w:type="dxa"/>
            <w:tcBorders>
              <w:bottom w:val="single" w:color="auto" w:sz="4" w:space="0"/>
            </w:tcBorders>
            <w:vAlign w:val="center"/>
          </w:tcPr>
          <w:p>
            <w:pPr>
              <w:jc w:val="center"/>
              <w:rPr>
                <w:rFonts w:ascii="方正仿宋_GBK" w:hAnsi="宋体" w:eastAsia="方正仿宋_GBK"/>
                <w:color w:val="auto"/>
                <w:sz w:val="24"/>
                <w:szCs w:val="28"/>
              </w:rPr>
            </w:pPr>
          </w:p>
        </w:tc>
        <w:tc>
          <w:tcPr>
            <w:tcW w:w="1186" w:type="dxa"/>
            <w:tcBorders>
              <w:bottom w:val="single" w:color="auto" w:sz="4" w:space="0"/>
            </w:tcBorders>
            <w:vAlign w:val="center"/>
          </w:tcPr>
          <w:p>
            <w:pPr>
              <w:jc w:val="center"/>
              <w:rPr>
                <w:rFonts w:ascii="方正仿宋_GBK" w:hAnsi="宋体" w:eastAsia="方正仿宋_GBK"/>
                <w:color w:val="auto"/>
                <w:sz w:val="24"/>
                <w:szCs w:val="28"/>
              </w:rPr>
            </w:pPr>
          </w:p>
        </w:tc>
        <w:tc>
          <w:tcPr>
            <w:tcW w:w="1233"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1721" w:type="dxa"/>
            <w:tcBorders>
              <w:bottom w:val="single" w:color="auto" w:sz="4" w:space="0"/>
            </w:tcBorders>
            <w:vAlign w:val="center"/>
          </w:tcPr>
          <w:p>
            <w:pPr>
              <w:jc w:val="center"/>
              <w:rPr>
                <w:rFonts w:ascii="方正仿宋_GBK" w:hAnsi="宋体" w:eastAsia="方正仿宋_GBK"/>
                <w:color w:val="auto"/>
                <w:sz w:val="24"/>
                <w:szCs w:val="28"/>
              </w:rPr>
            </w:pPr>
          </w:p>
        </w:tc>
        <w:tc>
          <w:tcPr>
            <w:tcW w:w="1417" w:type="dxa"/>
            <w:tcBorders>
              <w:bottom w:val="single" w:color="auto" w:sz="4" w:space="0"/>
            </w:tcBorders>
            <w:vAlign w:val="center"/>
          </w:tcPr>
          <w:p>
            <w:pPr>
              <w:jc w:val="center"/>
              <w:rPr>
                <w:rFonts w:ascii="方正仿宋_GBK" w:hAnsi="宋体" w:eastAsia="方正仿宋_GBK"/>
                <w:color w:val="auto"/>
                <w:sz w:val="24"/>
                <w:szCs w:val="28"/>
              </w:rPr>
            </w:pPr>
          </w:p>
        </w:tc>
        <w:tc>
          <w:tcPr>
            <w:tcW w:w="1250" w:type="dxa"/>
            <w:tcBorders>
              <w:bottom w:val="single" w:color="auto" w:sz="4" w:space="0"/>
            </w:tcBorders>
            <w:vAlign w:val="center"/>
          </w:tcPr>
          <w:p>
            <w:pPr>
              <w:jc w:val="center"/>
              <w:rPr>
                <w:rFonts w:ascii="方正仿宋_GBK" w:hAnsi="宋体" w:eastAsia="方正仿宋_GBK"/>
                <w:color w:val="auto"/>
                <w:sz w:val="24"/>
                <w:szCs w:val="28"/>
              </w:rPr>
            </w:pPr>
          </w:p>
        </w:tc>
        <w:tc>
          <w:tcPr>
            <w:tcW w:w="867" w:type="dxa"/>
            <w:tcBorders>
              <w:bottom w:val="single" w:color="auto" w:sz="4" w:space="0"/>
            </w:tcBorders>
            <w:vAlign w:val="center"/>
          </w:tcPr>
          <w:p>
            <w:pPr>
              <w:jc w:val="center"/>
              <w:rPr>
                <w:rFonts w:ascii="方正仿宋_GBK" w:hAnsi="宋体" w:eastAsia="方正仿宋_GBK"/>
                <w:color w:val="auto"/>
                <w:sz w:val="24"/>
                <w:szCs w:val="28"/>
              </w:rPr>
            </w:pPr>
          </w:p>
        </w:tc>
        <w:tc>
          <w:tcPr>
            <w:tcW w:w="1186" w:type="dxa"/>
            <w:tcBorders>
              <w:bottom w:val="single" w:color="auto" w:sz="4" w:space="0"/>
            </w:tcBorders>
            <w:vAlign w:val="center"/>
          </w:tcPr>
          <w:p>
            <w:pPr>
              <w:jc w:val="center"/>
              <w:rPr>
                <w:rFonts w:ascii="方正仿宋_GBK" w:hAnsi="宋体" w:eastAsia="方正仿宋_GBK"/>
                <w:color w:val="auto"/>
                <w:sz w:val="24"/>
                <w:szCs w:val="28"/>
              </w:rPr>
            </w:pPr>
          </w:p>
        </w:tc>
        <w:tc>
          <w:tcPr>
            <w:tcW w:w="1233"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ascii="方正仿宋_GBK" w:hAnsi="宋体" w:eastAsia="方正仿宋_GBK"/>
                <w:color w:val="auto"/>
                <w:sz w:val="24"/>
                <w:szCs w:val="28"/>
              </w:rPr>
            </w:pPr>
          </w:p>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bl>
    <w:p>
      <w:pPr>
        <w:snapToGrid w:val="0"/>
        <w:spacing w:line="500" w:lineRule="exact"/>
        <w:rPr>
          <w:rFonts w:ascii="方正仿宋_GBK" w:hAnsi="宋体" w:eastAsia="方正仿宋_GBK"/>
          <w:color w:val="auto"/>
          <w:sz w:val="24"/>
          <w:szCs w:val="28"/>
        </w:rPr>
      </w:pPr>
    </w:p>
    <w:p>
      <w:pPr>
        <w:snapToGrid w:val="0"/>
        <w:spacing w:line="5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注：1.请供应商完整填写本表。</w:t>
      </w:r>
    </w:p>
    <w:p>
      <w:pPr>
        <w:snapToGrid w:val="0"/>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18" w:name="OLE_LINK1"/>
      <w:bookmarkStart w:id="19" w:name="OLE_LINK2"/>
      <w:r>
        <w:rPr>
          <w:rFonts w:hint="eastAsia" w:ascii="方正仿宋_GBK" w:hAnsi="宋体" w:eastAsia="方正仿宋_GBK"/>
          <w:color w:val="auto"/>
          <w:sz w:val="24"/>
          <w:szCs w:val="28"/>
        </w:rPr>
        <w:t>，并逐页签字或盖章。</w:t>
      </w:r>
      <w:bookmarkEnd w:id="18"/>
      <w:bookmarkEnd w:id="19"/>
    </w:p>
    <w:p>
      <w:pPr>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szCs w:val="28"/>
        </w:rPr>
        <w:t xml:space="preserve">       </w:t>
      </w:r>
    </w:p>
    <w:p>
      <w:pPr>
        <w:pStyle w:val="10"/>
        <w:spacing w:line="360" w:lineRule="auto"/>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pPr>
        <w:spacing w:line="360" w:lineRule="auto"/>
        <w:rPr>
          <w:color w:val="auto"/>
        </w:rPr>
      </w:pPr>
      <w:r>
        <w:rPr>
          <w:rFonts w:hint="eastAsia" w:ascii="方正仿宋_GBK" w:hAnsi="宋体" w:eastAsia="方正仿宋_GBK"/>
          <w:color w:val="auto"/>
          <w:sz w:val="24"/>
        </w:rPr>
        <w:t xml:space="preserve">                                                    供应商名称（公章）：</w:t>
      </w:r>
    </w:p>
    <w:p>
      <w:pPr>
        <w:spacing w:line="360" w:lineRule="auto"/>
        <w:ind w:right="480" w:firstLine="6480" w:firstLineChars="2700"/>
        <w:rPr>
          <w:rFonts w:ascii="方正仿宋_GBK" w:hAnsi="宋体" w:eastAsia="方正仿宋_GBK"/>
          <w:color w:val="auto"/>
          <w:sz w:val="24"/>
        </w:rPr>
      </w:pPr>
      <w:r>
        <w:rPr>
          <w:rFonts w:hint="eastAsia" w:ascii="方正仿宋_GBK" w:hAnsi="宋体" w:eastAsia="方正仿宋_GBK"/>
          <w:color w:val="auto"/>
          <w:sz w:val="24"/>
        </w:rPr>
        <w:t>年     月    日</w:t>
      </w:r>
    </w:p>
    <w:p>
      <w:pPr>
        <w:snapToGrid w:val="0"/>
        <w:spacing w:line="360" w:lineRule="auto"/>
        <w:ind w:firstLine="480" w:firstLineChars="200"/>
        <w:rPr>
          <w:rFonts w:ascii="方正仿宋_GBK" w:hAnsi="宋体" w:eastAsia="方正仿宋_GBK"/>
          <w:color w:val="auto"/>
          <w:sz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ascii="方正仿宋_GBK" w:hAnsi="宋体" w:eastAsia="方正仿宋_GBK"/>
          <w:color w:val="auto"/>
          <w:sz w:val="24"/>
          <w:szCs w:val="24"/>
        </w:rPr>
      </w:pPr>
      <w:bookmarkStart w:id="20" w:name="_Toc342913420"/>
      <w:bookmarkStart w:id="21" w:name="_Toc313008357"/>
      <w:bookmarkStart w:id="22" w:name="_Toc511909624"/>
      <w:bookmarkStart w:id="23" w:name="_Toc313888361"/>
      <w:r>
        <w:rPr>
          <w:rFonts w:hint="eastAsia" w:ascii="方正仿宋_GBK" w:hAnsi="宋体" w:eastAsia="方正仿宋_GBK"/>
          <w:color w:val="auto"/>
          <w:sz w:val="24"/>
          <w:szCs w:val="24"/>
        </w:rPr>
        <w:t>二、技术部分</w:t>
      </w:r>
      <w:bookmarkEnd w:id="20"/>
      <w:bookmarkEnd w:id="21"/>
      <w:bookmarkEnd w:id="22"/>
      <w:bookmarkEnd w:id="23"/>
    </w:p>
    <w:p>
      <w:pPr>
        <w:snapToGrid w:val="0"/>
        <w:spacing w:line="360" w:lineRule="auto"/>
        <w:jc w:val="center"/>
        <w:rPr>
          <w:rFonts w:ascii="方正仿宋_GBK" w:hAnsi="宋体" w:eastAsia="方正仿宋_GBK"/>
          <w:b/>
          <w:color w:val="auto"/>
          <w:sz w:val="28"/>
          <w:szCs w:val="28"/>
        </w:rPr>
      </w:pPr>
      <w:r>
        <w:rPr>
          <w:rFonts w:hint="eastAsia" w:ascii="方正仿宋_GBK" w:hAnsi="宋体" w:eastAsia="方正仿宋_GBK"/>
          <w:b/>
          <w:color w:val="auto"/>
          <w:sz w:val="28"/>
          <w:szCs w:val="28"/>
        </w:rPr>
        <w:t>技术响应偏离表</w:t>
      </w:r>
    </w:p>
    <w:p>
      <w:pPr>
        <w:pStyle w:val="6"/>
        <w:tabs>
          <w:tab w:val="left" w:pos="6300"/>
        </w:tabs>
        <w:snapToGrid w:val="0"/>
        <w:spacing w:line="5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序号</w:t>
            </w:r>
          </w:p>
        </w:tc>
        <w:tc>
          <w:tcPr>
            <w:tcW w:w="2844"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采购需求</w:t>
            </w:r>
          </w:p>
        </w:tc>
        <w:tc>
          <w:tcPr>
            <w:tcW w:w="295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响应情况</w:t>
            </w:r>
          </w:p>
        </w:tc>
        <w:tc>
          <w:tcPr>
            <w:tcW w:w="221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1.本表即为对本项目“六、项目参数”中所列技术要求进行比较和响应；</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3.该表可扩展</w:t>
      </w:r>
      <w:r>
        <w:rPr>
          <w:rFonts w:hint="eastAsia" w:ascii="方正仿宋_GBK" w:hAnsi="宋体" w:eastAsia="方正仿宋_GBK"/>
          <w:color w:val="auto"/>
          <w:sz w:val="24"/>
          <w:szCs w:val="28"/>
        </w:rPr>
        <w:t>，并逐页签字或盖章</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4.可附相关技术支撑材料（格式自定）。</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5.根据响应情况在“差异说明”项填写正偏离或负偏离及原因，完全符合的填写“无差异”。</w:t>
      </w:r>
    </w:p>
    <w:p>
      <w:pPr>
        <w:pStyle w:val="3"/>
        <w:spacing w:before="0" w:after="0" w:line="360" w:lineRule="auto"/>
        <w:rPr>
          <w:rFonts w:ascii="方正仿宋_GBK" w:hAnsi="宋体" w:eastAsia="方正仿宋_GBK"/>
          <w:color w:val="auto"/>
          <w:sz w:val="24"/>
          <w:szCs w:val="24"/>
        </w:rPr>
      </w:pPr>
      <w:r>
        <w:rPr>
          <w:rFonts w:ascii="方正仿宋_GBK" w:eastAsia="方正仿宋_GBK"/>
          <w:b w:val="0"/>
          <w:color w:val="auto"/>
        </w:rPr>
        <w:br w:type="page"/>
      </w:r>
      <w:bookmarkStart w:id="24" w:name="_Toc511909625"/>
      <w:bookmarkStart w:id="25" w:name="_Toc313008358"/>
      <w:bookmarkStart w:id="26" w:name="_Toc313888362"/>
      <w:bookmarkStart w:id="27" w:name="_Toc342913421"/>
      <w:r>
        <w:rPr>
          <w:rFonts w:hint="eastAsia" w:ascii="方正仿宋_GBK" w:hAnsi="宋体" w:eastAsia="方正仿宋_GBK"/>
          <w:color w:val="auto"/>
          <w:sz w:val="24"/>
          <w:szCs w:val="24"/>
        </w:rPr>
        <w:t>三、商务部分</w:t>
      </w:r>
      <w:bookmarkEnd w:id="24"/>
    </w:p>
    <w:p>
      <w:pPr>
        <w:snapToGrid w:val="0"/>
        <w:spacing w:line="360" w:lineRule="auto"/>
        <w:jc w:val="center"/>
        <w:rPr>
          <w:rFonts w:ascii="方正仿宋_GBK" w:hAnsi="宋体" w:eastAsia="方正仿宋_GBK"/>
          <w:b/>
          <w:color w:val="auto"/>
          <w:sz w:val="28"/>
          <w:szCs w:val="28"/>
        </w:rPr>
      </w:pPr>
      <w:r>
        <w:rPr>
          <w:rFonts w:hint="eastAsia" w:ascii="方正仿宋_GBK" w:hAnsi="宋体" w:eastAsia="方正仿宋_GBK"/>
          <w:b/>
          <w:color w:val="auto"/>
          <w:sz w:val="28"/>
          <w:szCs w:val="28"/>
        </w:rPr>
        <w:t>商务响应偏离表</w:t>
      </w:r>
    </w:p>
    <w:p>
      <w:pPr>
        <w:snapToGrid w:val="0"/>
        <w:ind w:firstLine="465"/>
        <w:rPr>
          <w:rFonts w:ascii="方正仿宋_GBK" w:hAnsi="宋体" w:eastAsia="方正仿宋_GBK"/>
          <w:color w:val="auto"/>
          <w:sz w:val="24"/>
        </w:rPr>
      </w:pPr>
      <w:r>
        <w:rPr>
          <w:rFonts w:hint="eastAsia" w:ascii="方正仿宋_GBK" w:hAnsi="宋体" w:eastAsia="方正仿宋_GBK"/>
          <w:color w:val="auto"/>
          <w:sz w:val="24"/>
        </w:rPr>
        <w:t>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序号</w:t>
            </w:r>
          </w:p>
        </w:tc>
        <w:tc>
          <w:tcPr>
            <w:tcW w:w="3184"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项目需求</w:t>
            </w:r>
          </w:p>
        </w:tc>
        <w:tc>
          <w:tcPr>
            <w:tcW w:w="2438"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响应情况</w:t>
            </w:r>
          </w:p>
        </w:tc>
        <w:tc>
          <w:tcPr>
            <w:tcW w:w="2359"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1.本表即为对本项目“七、商务要求”中所列服务要求进行比较和响应，该表可扩展；</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3 根据响应情况在“差异说明”项填写正偏离或负偏离及原因，完全符合的填写“无差异”。</w:t>
      </w:r>
    </w:p>
    <w:p>
      <w:pPr>
        <w:pStyle w:val="3"/>
        <w:spacing w:before="0" w:after="0" w:line="360" w:lineRule="auto"/>
        <w:rPr>
          <w:rFonts w:ascii="方正仿宋_GBK" w:hAnsi="宋体" w:eastAsia="方正仿宋_GBK"/>
          <w:color w:val="auto"/>
          <w:sz w:val="24"/>
          <w:szCs w:val="24"/>
        </w:rPr>
      </w:pPr>
      <w:bookmarkStart w:id="28" w:name="_Toc511909626"/>
      <w:r>
        <w:rPr>
          <w:rFonts w:hint="eastAsia" w:ascii="方正仿宋_GBK" w:hAnsi="宋体" w:eastAsia="方正仿宋_GBK"/>
          <w:color w:val="auto"/>
          <w:sz w:val="24"/>
          <w:szCs w:val="24"/>
        </w:rPr>
        <w:t>四、</w:t>
      </w:r>
      <w:bookmarkEnd w:id="25"/>
      <w:bookmarkEnd w:id="26"/>
      <w:bookmarkEnd w:id="27"/>
      <w:r>
        <w:rPr>
          <w:rFonts w:hint="eastAsia" w:ascii="方正仿宋_GBK" w:hAnsi="宋体" w:eastAsia="方正仿宋_GBK"/>
          <w:color w:val="auto"/>
          <w:sz w:val="24"/>
          <w:szCs w:val="24"/>
        </w:rPr>
        <w:t>资格条件及其他</w:t>
      </w:r>
      <w:bookmarkEnd w:id="28"/>
      <w:bookmarkStart w:id="29" w:name="_Toc313008359"/>
      <w:bookmarkStart w:id="30" w:name="_Toc313888363"/>
      <w:bookmarkStart w:id="31" w:name="_Toc342913422"/>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（一）营业执照（副本）或事业单位法人证书（副本）扫描件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（二）组织机构代码证扫描件</w:t>
      </w: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widowControl/>
        <w:ind w:firstLine="420" w:firstLineChars="200"/>
        <w:jc w:val="left"/>
        <w:rPr>
          <w:rFonts w:ascii="方正仿宋_GBK" w:hAnsi="宋体" w:eastAsia="方正仿宋_GBK"/>
          <w:color w:val="auto"/>
          <w:sz w:val="28"/>
          <w:szCs w:val="28"/>
        </w:rPr>
      </w:pPr>
      <w:r>
        <w:rPr>
          <w:rFonts w:ascii="方正仿宋_GBK" w:hAnsi="宋体" w:eastAsia="方正仿宋_GBK"/>
          <w:color w:val="auto"/>
        </w:rPr>
        <w:br w:type="page"/>
      </w:r>
      <w:r>
        <w:rPr>
          <w:rFonts w:hint="eastAsia" w:ascii="方正仿宋_GBK" w:hAnsi="宋体" w:eastAsia="方正仿宋_GBK"/>
          <w:color w:val="auto"/>
          <w:sz w:val="28"/>
          <w:szCs w:val="28"/>
        </w:rPr>
        <w:t>（三）法定代表人身份证明书（格式）</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重庆市荣昌区人民医院</w:t>
      </w:r>
      <w:r>
        <w:rPr>
          <w:rFonts w:hint="eastAsia" w:ascii="方正仿宋_GBK" w:hAnsi="宋体" w:eastAsia="方正仿宋_GBK"/>
          <w:color w:val="auto"/>
          <w:sz w:val="24"/>
        </w:rPr>
        <w:t>：</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8"/>
          <w:szCs w:val="28"/>
        </w:rPr>
      </w:pPr>
      <w:r>
        <w:rPr>
          <w:color w:val="auto"/>
        </w:rPr>
        <w:br w:type="column"/>
      </w:r>
      <w:r>
        <w:rPr>
          <w:rFonts w:hint="eastAsia" w:ascii="方正仿宋_GBK" w:hAnsi="宋体" w:eastAsia="方正仿宋_GBK"/>
          <w:color w:val="auto"/>
          <w:sz w:val="28"/>
          <w:szCs w:val="28"/>
        </w:rPr>
        <w:t>（四）法定代表人授权委托书（格式）</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（采购人名称）：</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（供应商单位名称）的法定代表人，特授权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（被授权人姓名及身份证代码）代表我单位全权办理上述项目的竞价、签约等具体工作，并签署全部有关文件、协议及合同。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szCs w:val="28"/>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（五）书面声明</w:t>
      </w:r>
    </w:p>
    <w:p>
      <w:pPr>
        <w:tabs>
          <w:tab w:val="left" w:pos="6300"/>
        </w:tabs>
        <w:snapToGrid w:val="0"/>
        <w:spacing w:line="500" w:lineRule="exact"/>
        <w:ind w:firstLine="560" w:firstLineChars="200"/>
        <w:jc w:val="center"/>
        <w:rPr>
          <w:rFonts w:ascii="方正仿宋_GBK" w:hAnsi="宋体" w:eastAsia="方正仿宋_GBK"/>
          <w:color w:val="auto"/>
          <w:sz w:val="28"/>
          <w:szCs w:val="28"/>
        </w:rPr>
      </w:pPr>
      <w:r>
        <w:rPr>
          <w:rFonts w:hint="eastAsia" w:ascii="方正仿宋_GBK" w:hAnsi="宋体" w:eastAsia="方正仿宋_GBK"/>
          <w:color w:val="auto"/>
          <w:sz w:val="28"/>
          <w:szCs w:val="28"/>
        </w:rPr>
        <w:t>书面声明</w:t>
      </w:r>
    </w:p>
    <w:p>
      <w:pPr>
        <w:tabs>
          <w:tab w:val="left" w:pos="6300"/>
        </w:tabs>
        <w:snapToGrid w:val="0"/>
        <w:spacing w:line="500" w:lineRule="exact"/>
        <w:ind w:firstLine="480" w:firstLineChars="200"/>
        <w:jc w:val="center"/>
        <w:rPr>
          <w:rFonts w:ascii="方正仿宋_GBK" w:hAnsi="宋体" w:eastAsia="方正仿宋_GBK"/>
          <w:color w:val="auto"/>
          <w:sz w:val="24"/>
          <w:szCs w:val="28"/>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重庆市荣昌区人民医院  </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w:t>
      </w:r>
      <w:r>
        <w:rPr>
          <w:rFonts w:hint="eastAsia" w:ascii="方正仿宋_GBK" w:hAnsi="仿宋" w:eastAsia="方正仿宋_GBK"/>
          <w:color w:val="auto"/>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特此声明。</w:t>
      </w:r>
    </w:p>
    <w:p>
      <w:pPr>
        <w:tabs>
          <w:tab w:val="left" w:pos="6300"/>
        </w:tabs>
        <w:snapToGrid w:val="0"/>
        <w:spacing w:line="500" w:lineRule="exact"/>
        <w:ind w:firstLine="570"/>
        <w:rPr>
          <w:rFonts w:ascii="方正仿宋_GBK" w:hAnsi="宋体" w:eastAsia="方正仿宋_GBK"/>
          <w:color w:val="auto"/>
          <w:sz w:val="24"/>
        </w:rPr>
      </w:pPr>
    </w:p>
    <w:p>
      <w:pPr>
        <w:snapToGrid w:val="0"/>
        <w:spacing w:line="400" w:lineRule="exact"/>
        <w:ind w:firstLine="480" w:firstLineChars="20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24"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firstLine="420" w:firstLineChars="200"/>
        <w:rPr>
          <w:rFonts w:ascii="方正仿宋_GBK" w:hAnsi="宋体" w:eastAsia="方正仿宋_GBK"/>
          <w:color w:val="auto"/>
        </w:rPr>
      </w:pPr>
      <w:r>
        <w:rPr>
          <w:rFonts w:ascii="宋体" w:hAnsi="宋体"/>
          <w:color w:val="auto"/>
        </w:rPr>
        <w:br w:type="page"/>
      </w:r>
      <w:r>
        <w:rPr>
          <w:rFonts w:hint="eastAsia" w:ascii="方正仿宋_GBK" w:hAnsi="宋体" w:eastAsia="方正仿宋_GBK"/>
          <w:color w:val="auto"/>
        </w:rPr>
        <w:t>（六）特定资格条件证书或证明文件</w:t>
      </w:r>
    </w:p>
    <w:p>
      <w:pPr>
        <w:tabs>
          <w:tab w:val="left" w:pos="6300"/>
        </w:tabs>
        <w:snapToGrid w:val="0"/>
        <w:spacing w:line="500" w:lineRule="exact"/>
        <w:ind w:firstLine="560"/>
        <w:rPr>
          <w:rFonts w:ascii="方正仿宋_GBK" w:hAnsi="仿宋" w:eastAsia="方正仿宋_GBK"/>
          <w:color w:val="auto"/>
        </w:rPr>
      </w:pPr>
      <w:r>
        <w:rPr>
          <w:rFonts w:hint="eastAsia" w:ascii="方正仿宋_GBK" w:hAnsi="仿宋" w:eastAsia="方正仿宋_GBK"/>
          <w:color w:val="auto"/>
        </w:rPr>
        <w:t>说明：供应商按“五证合一”登记制度办理营业执照的，组织机构代码证、税务登记证（副本）和社会保险登记证以供应商所提供的营业执照（副本）复印件为准。</w:t>
      </w:r>
    </w:p>
    <w:p>
      <w:pPr>
        <w:pStyle w:val="3"/>
        <w:spacing w:before="0" w:after="0" w:line="360" w:lineRule="auto"/>
        <w:rPr>
          <w:rFonts w:ascii="方正仿宋_GBK" w:hAnsi="宋体" w:eastAsia="方正仿宋_GBK"/>
          <w:color w:val="auto"/>
          <w:sz w:val="24"/>
          <w:szCs w:val="24"/>
        </w:rPr>
      </w:pPr>
      <w:r>
        <w:rPr>
          <w:rFonts w:ascii="方正仿宋_GBK" w:hAnsi="宋体" w:eastAsia="方正仿宋_GBK"/>
          <w:color w:val="auto"/>
          <w:sz w:val="24"/>
          <w:szCs w:val="24"/>
        </w:rPr>
        <w:br w:type="page"/>
      </w:r>
      <w:bookmarkStart w:id="32" w:name="_Toc511909627"/>
      <w:r>
        <w:rPr>
          <w:rFonts w:hint="eastAsia" w:ascii="方正仿宋_GBK" w:hAnsi="宋体" w:eastAsia="方正仿宋_GBK"/>
          <w:color w:val="auto"/>
          <w:sz w:val="24"/>
          <w:szCs w:val="24"/>
        </w:rPr>
        <w:t>五、</w:t>
      </w:r>
      <w:bookmarkEnd w:id="29"/>
      <w:bookmarkEnd w:id="30"/>
      <w:bookmarkEnd w:id="31"/>
      <w:r>
        <w:rPr>
          <w:rFonts w:hint="eastAsia" w:ascii="方正仿宋_GBK" w:eastAsia="方正仿宋_GBK"/>
          <w:color w:val="auto"/>
          <w:sz w:val="24"/>
          <w:szCs w:val="24"/>
        </w:rPr>
        <w:t>其他</w:t>
      </w:r>
      <w:bookmarkEnd w:id="32"/>
      <w:r>
        <w:rPr>
          <w:rFonts w:hint="eastAsia" w:ascii="方正仿宋_GBK" w:hAnsi="宋体" w:eastAsia="方正仿宋_GBK"/>
          <w:color w:val="auto"/>
          <w:sz w:val="24"/>
        </w:rPr>
        <w:t>与项目有关的资料</w:t>
      </w:r>
      <w:r>
        <w:rPr>
          <w:rFonts w:hint="eastAsia" w:ascii="方正仿宋_GBK" w:hAnsi="仿宋" w:eastAsia="方正仿宋_GBK"/>
          <w:color w:val="auto"/>
        </w:rPr>
        <w:t>（自附）</w:t>
      </w:r>
    </w:p>
    <w:p>
      <w:pPr>
        <w:rPr>
          <w:color w:val="auto"/>
        </w:rPr>
      </w:pPr>
    </w:p>
    <w:sectPr>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00274"/>
    <w:multiLevelType w:val="multilevel"/>
    <w:tmpl w:val="A1A0027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748"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D24DFE18"/>
    <w:multiLevelType w:val="multilevel"/>
    <w:tmpl w:val="D24DFE18"/>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E86EAA65"/>
    <w:multiLevelType w:val="multilevel"/>
    <w:tmpl w:val="E86EAA65"/>
    <w:lvl w:ilvl="0" w:tentative="0">
      <w:start w:val="1"/>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2"/>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FC865D86"/>
    <w:multiLevelType w:val="multilevel"/>
    <w:tmpl w:val="FC865D86"/>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177E609D"/>
    <w:multiLevelType w:val="singleLevel"/>
    <w:tmpl w:val="177E609D"/>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5A43AC0"/>
    <w:rsid w:val="09A044BB"/>
    <w:rsid w:val="0D655F05"/>
    <w:rsid w:val="0EB53F15"/>
    <w:rsid w:val="11DE153F"/>
    <w:rsid w:val="13EE029C"/>
    <w:rsid w:val="150A3BE6"/>
    <w:rsid w:val="16200AC5"/>
    <w:rsid w:val="17DD787C"/>
    <w:rsid w:val="1C9709E1"/>
    <w:rsid w:val="22D34CC6"/>
    <w:rsid w:val="237C4BDA"/>
    <w:rsid w:val="26AF7045"/>
    <w:rsid w:val="270464C7"/>
    <w:rsid w:val="2D0621F3"/>
    <w:rsid w:val="30F311EB"/>
    <w:rsid w:val="3C810D64"/>
    <w:rsid w:val="509945C3"/>
    <w:rsid w:val="51463ABA"/>
    <w:rsid w:val="53A11DCF"/>
    <w:rsid w:val="56B12A74"/>
    <w:rsid w:val="58C71EE5"/>
    <w:rsid w:val="5D6F730D"/>
    <w:rsid w:val="6514718B"/>
    <w:rsid w:val="6AAD4C27"/>
    <w:rsid w:val="6BF738B0"/>
    <w:rsid w:val="7161222B"/>
    <w:rsid w:val="760D30A1"/>
    <w:rsid w:val="76F60DF3"/>
    <w:rsid w:val="7B164F45"/>
    <w:rsid w:val="7E34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qFormat/>
    <w:uiPriority w:val="0"/>
    <w:pPr>
      <w:keepNext/>
      <w:keepLines/>
      <w:spacing w:before="260" w:after="260" w:line="413" w:lineRule="auto"/>
      <w:outlineLvl w:val="2"/>
    </w:pPr>
    <w:rPr>
      <w:b/>
      <w:sz w:val="32"/>
      <w:szCs w:val="20"/>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unhideWhenUsed/>
    <w:qFormat/>
    <w:uiPriority w:val="99"/>
    <w:pPr>
      <w:spacing w:after="120" w:afterLines="0" w:afterAutospacing="0"/>
    </w:pPr>
  </w:style>
  <w:style w:type="paragraph" w:styleId="6">
    <w:name w:val="Date"/>
    <w:basedOn w:val="1"/>
    <w:next w:val="1"/>
    <w:link w:val="20"/>
    <w:qFormat/>
    <w:uiPriority w:val="0"/>
    <w:rPr>
      <w:rFonts w:asciiTheme="minorHAnsi" w:hAnsiTheme="minorHAnsi" w:eastAsiaTheme="minorEastAsia" w:cstheme="minorBidi"/>
      <w:sz w:val="28"/>
      <w:szCs w:val="22"/>
    </w:rPr>
  </w:style>
  <w:style w:type="paragraph" w:styleId="7">
    <w:name w:val="Balloon Text"/>
    <w:basedOn w:val="1"/>
    <w:link w:val="21"/>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szCs w:val="20"/>
    </w:rPr>
  </w:style>
  <w:style w:type="character" w:styleId="13">
    <w:name w:val="Strong"/>
    <w:link w:val="1"/>
    <w:qFormat/>
    <w:uiPriority w:val="0"/>
    <w:rPr>
      <w:rFonts w:cs="Times New Roman"/>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9"/>
    <w:qFormat/>
    <w:uiPriority w:val="0"/>
    <w:rPr>
      <w:sz w:val="18"/>
      <w:szCs w:val="18"/>
    </w:rPr>
  </w:style>
  <w:style w:type="character" w:customStyle="1" w:styleId="16">
    <w:name w:val="页脚 Char"/>
    <w:basedOn w:val="12"/>
    <w:link w:val="8"/>
    <w:semiHidden/>
    <w:qFormat/>
    <w:uiPriority w:val="99"/>
    <w:rPr>
      <w:sz w:val="18"/>
      <w:szCs w:val="18"/>
    </w:rPr>
  </w:style>
  <w:style w:type="character" w:customStyle="1" w:styleId="17">
    <w:name w:val="标题 3 Char"/>
    <w:basedOn w:val="12"/>
    <w:link w:val="3"/>
    <w:qFormat/>
    <w:uiPriority w:val="0"/>
    <w:rPr>
      <w:rFonts w:ascii="Times New Roman" w:hAnsi="Times New Roman" w:eastAsia="宋体" w:cs="Times New Roman"/>
      <w:b/>
      <w:sz w:val="32"/>
      <w:szCs w:val="20"/>
    </w:rPr>
  </w:style>
  <w:style w:type="character" w:customStyle="1" w:styleId="18">
    <w:name w:val="标题 2 Char"/>
    <w:basedOn w:val="12"/>
    <w:link w:val="2"/>
    <w:semiHidden/>
    <w:qFormat/>
    <w:uiPriority w:val="9"/>
    <w:rPr>
      <w:rFonts w:asciiTheme="majorHAnsi" w:hAnsiTheme="majorHAnsi" w:eastAsiaTheme="majorEastAsia" w:cstheme="majorBidi"/>
      <w:b/>
      <w:bCs/>
      <w:sz w:val="32"/>
      <w:szCs w:val="32"/>
    </w:rPr>
  </w:style>
  <w:style w:type="character" w:customStyle="1" w:styleId="19">
    <w:name w:val="日期 Char"/>
    <w:link w:val="6"/>
    <w:qFormat/>
    <w:uiPriority w:val="0"/>
    <w:rPr>
      <w:sz w:val="28"/>
    </w:rPr>
  </w:style>
  <w:style w:type="character" w:customStyle="1" w:styleId="20">
    <w:name w:val="日期 Char1"/>
    <w:basedOn w:val="12"/>
    <w:link w:val="6"/>
    <w:semiHidden/>
    <w:qFormat/>
    <w:uiPriority w:val="99"/>
    <w:rPr>
      <w:rFonts w:ascii="Times New Roman" w:hAnsi="Times New Roman" w:eastAsia="宋体" w:cs="Times New Roman"/>
      <w:szCs w:val="24"/>
    </w:rPr>
  </w:style>
  <w:style w:type="character" w:customStyle="1" w:styleId="21">
    <w:name w:val="批注框文本 Char"/>
    <w:basedOn w:val="12"/>
    <w:link w:val="7"/>
    <w:semiHidden/>
    <w:qFormat/>
    <w:uiPriority w:val="99"/>
    <w:rPr>
      <w:rFonts w:ascii="Times New Roman" w:hAnsi="Times New Roman" w:eastAsia="宋体" w:cs="Times New Roman"/>
      <w:sz w:val="18"/>
      <w:szCs w:val="18"/>
    </w:rPr>
  </w:style>
  <w:style w:type="character" w:customStyle="1" w:styleId="22">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23">
    <w:name w:val="列表段落1"/>
    <w:basedOn w:val="1"/>
    <w:qFormat/>
    <w:uiPriority w:val="0"/>
    <w:pPr>
      <w:ind w:firstLine="420" w:firstLineChars="200"/>
    </w:pPr>
  </w:style>
  <w:style w:type="paragraph" w:customStyle="1" w:styleId="24">
    <w:name w:val="列出段落1"/>
    <w:basedOn w:val="1"/>
    <w:qFormat/>
    <w:uiPriority w:val="0"/>
    <w:pPr>
      <w:ind w:firstLine="420" w:firstLineChars="200"/>
    </w:pPr>
  </w:style>
  <w:style w:type="paragraph" w:customStyle="1" w:styleId="25">
    <w:name w:val="样式1"/>
    <w:basedOn w:val="1"/>
    <w:next w:val="5"/>
    <w:qFormat/>
    <w:uiPriority w:val="0"/>
    <w:pPr>
      <w:keepNext/>
      <w:keepLines/>
      <w:spacing w:before="280" w:beforeLines="0" w:after="290" w:afterLines="0" w:line="372" w:lineRule="auto"/>
      <w:outlineLvl w:val="3"/>
    </w:pPr>
    <w:rPr>
      <w:rFonts w:hint="eastAsia" w:ascii="Arial" w:hAnsi="Arial" w:eastAsia="黑体"/>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931</Words>
  <Characters>5308</Characters>
  <Lines>44</Lines>
  <Paragraphs>12</Paragraphs>
  <TotalTime>5</TotalTime>
  <ScaleCrop>false</ScaleCrop>
  <LinksUpToDate>false</LinksUpToDate>
  <CharactersWithSpaces>6227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cp:lastPrinted>2021-08-11T04:07:00Z</cp:lastPrinted>
  <dcterms:modified xsi:type="dcterms:W3CDTF">2021-08-13T09:38:53Z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2052-11.1.0.10700</vt:lpwstr>
  </property>
  <property fmtid="{D5CDD505-2E9C-101B-9397-08002B2CF9AE}" pid="4" name="ICV">
    <vt:lpwstr>5998A5AD3AEC48DD9560656022E91E1C</vt:lpwstr>
  </property>
</Properties>
</file>