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rPr>
          <w:rFonts w:asciiTheme="minorEastAsia" w:hAnsiTheme="minorEastAsia"/>
          <w:b/>
          <w:sz w:val="28"/>
          <w:szCs w:val="24"/>
        </w:rPr>
      </w:pPr>
      <w:bookmarkStart w:id="0" w:name="_GoBack"/>
      <w:r>
        <w:rPr>
          <w:rFonts w:asciiTheme="minorEastAsia" w:hAnsiTheme="minorEastAsia"/>
          <w:b/>
          <w:sz w:val="28"/>
          <w:szCs w:val="24"/>
        </w:rPr>
        <w:t>防治污染设施的建设和运行情况；</w:t>
      </w:r>
    </w:p>
    <w:bookmarkEnd w:id="0"/>
    <w:p>
      <w:pPr>
        <w:numPr>
          <w:ilvl w:val="0"/>
          <w:numId w:val="0"/>
        </w:numPr>
        <w:spacing w:line="360" w:lineRule="auto"/>
        <w:rPr>
          <w:rFonts w:hint="eastAsia" w:asciiTheme="minorEastAsia" w:hAnsiTheme="minorEastAsia" w:eastAsiaTheme="minorEastAsia"/>
          <w:b/>
          <w:sz w:val="28"/>
          <w:szCs w:val="24"/>
          <w:lang w:eastAsia="zh-CN"/>
        </w:rPr>
      </w:pPr>
      <w:r>
        <w:rPr>
          <w:rFonts w:hint="eastAsia" w:asciiTheme="minorEastAsia" w:hAnsiTheme="minorEastAsia"/>
          <w:b/>
          <w:sz w:val="28"/>
          <w:szCs w:val="24"/>
          <w:lang w:eastAsia="zh-CN"/>
        </w:rPr>
        <w:t>（</w:t>
      </w:r>
      <w:r>
        <w:rPr>
          <w:rFonts w:hint="eastAsia" w:asciiTheme="minorEastAsia" w:hAnsiTheme="minorEastAsia"/>
          <w:b/>
          <w:sz w:val="28"/>
          <w:szCs w:val="24"/>
          <w:lang w:val="en-US" w:eastAsia="zh-CN"/>
        </w:rPr>
        <w:t>1</w:t>
      </w:r>
      <w:r>
        <w:rPr>
          <w:rFonts w:hint="eastAsia" w:asciiTheme="minorEastAsia" w:hAnsiTheme="minorEastAsia"/>
          <w:b/>
          <w:sz w:val="28"/>
          <w:szCs w:val="24"/>
          <w:lang w:eastAsia="zh-CN"/>
        </w:rPr>
        <w:t>）建设情况</w:t>
      </w:r>
    </w:p>
    <w:p>
      <w:pPr>
        <w:numPr>
          <w:ilvl w:val="0"/>
          <w:numId w:val="0"/>
        </w:numPr>
        <w:spacing w:line="360" w:lineRule="auto"/>
        <w:ind w:firstLine="562"/>
        <w:rPr>
          <w:rFonts w:hint="eastAsia" w:ascii="方正仿宋_GBK" w:eastAsia="方正仿宋_GBK"/>
          <w:sz w:val="28"/>
          <w:szCs w:val="28"/>
          <w:lang w:val="en-US" w:eastAsia="zh-CN"/>
        </w:rPr>
      </w:pPr>
      <w:r>
        <w:rPr>
          <w:rFonts w:hint="eastAsia" w:ascii="方正仿宋_GBK" w:eastAsia="方正仿宋_GBK"/>
          <w:sz w:val="28"/>
          <w:szCs w:val="28"/>
          <w:lang w:val="en-US" w:eastAsia="zh-CN"/>
        </w:rPr>
        <w:t>我</w:t>
      </w:r>
      <w:r>
        <w:rPr>
          <w:rFonts w:hint="eastAsia" w:ascii="方正仿宋_GBK" w:eastAsia="方正仿宋_GBK"/>
          <w:sz w:val="28"/>
          <w:szCs w:val="28"/>
        </w:rPr>
        <w:t>院</w:t>
      </w:r>
      <w:r>
        <w:rPr>
          <w:rFonts w:hint="eastAsia" w:ascii="方正仿宋_GBK" w:eastAsia="方正仿宋_GBK"/>
          <w:sz w:val="28"/>
          <w:szCs w:val="28"/>
          <w:lang w:val="en-US" w:eastAsia="zh-CN"/>
        </w:rPr>
        <w:t>先后修建</w:t>
      </w:r>
      <w:r>
        <w:rPr>
          <w:rFonts w:hint="eastAsia" w:ascii="方正仿宋_GBK" w:eastAsia="方正仿宋_GBK"/>
          <w:sz w:val="28"/>
          <w:szCs w:val="28"/>
        </w:rPr>
        <w:t>污水处理站设施2套（门诊、内科病区和外科病区），</w:t>
      </w:r>
      <w:r>
        <w:rPr>
          <w:rFonts w:hint="eastAsia" w:ascii="方正仿宋_GBK" w:eastAsia="方正仿宋_GBK"/>
          <w:sz w:val="28"/>
          <w:szCs w:val="28"/>
          <w:lang w:val="en-US" w:eastAsia="zh-CN"/>
        </w:rPr>
        <w:t>按照“雨污分流”的原则设计排水系统，雨水排入市政雨水管网；医疗废水经污水处理站处理达《医疗机构水污染物排放标准》</w:t>
      </w:r>
      <w:r>
        <w:rPr>
          <w:rFonts w:hint="eastAsia" w:ascii="方正仿宋_GBK" w:eastAsia="方正仿宋_GBK"/>
          <w:sz w:val="28"/>
          <w:szCs w:val="28"/>
        </w:rPr>
        <w:t>（GB18466- 2005）中的预处</w:t>
      </w:r>
      <w:r>
        <w:rPr>
          <w:rFonts w:hint="eastAsia" w:ascii="方正仿宋_GBK" w:eastAsia="方正仿宋_GBK"/>
          <w:sz w:val="28"/>
          <w:szCs w:val="28"/>
          <w:lang w:val="en-US" w:eastAsia="zh-CN"/>
        </w:rPr>
        <w:t>理标准后，经城市污水管网进入城市污水处理厂，食堂生活污水经隔油沉砂处理后依托原生化处理池处理后汇入门诊、内科医疗废水处理站处理。</w:t>
      </w:r>
      <w:r>
        <w:rPr>
          <w:rFonts w:hint="eastAsia" w:ascii="方正仿宋_GBK" w:eastAsia="方正仿宋_GBK"/>
          <w:sz w:val="28"/>
          <w:szCs w:val="28"/>
        </w:rPr>
        <w:t>其中门诊、内科医疗污水处理站建筑面积5</w:t>
      </w:r>
      <w:r>
        <w:rPr>
          <w:rFonts w:hint="eastAsia" w:ascii="方正仿宋_GBK" w:eastAsia="方正仿宋_GBK"/>
          <w:sz w:val="28"/>
          <w:szCs w:val="28"/>
          <w:lang w:val="en-US" w:eastAsia="zh-CN"/>
        </w:rPr>
        <w:t>0</w:t>
      </w:r>
      <w:r>
        <w:rPr>
          <w:rFonts w:hint="eastAsia" w:ascii="方正仿宋_GBK" w:eastAsia="方正仿宋_GBK"/>
          <w:sz w:val="28"/>
          <w:szCs w:val="28"/>
        </w:rPr>
        <w:t>方米，设计日处理能力460吨，医疗污水处理站于2006年12月竣工投入使用。外科医疗污水处理站建筑面积60平方米，设计日处理能力350吨，于2016年5月竣工投入使用；外科大楼污水处理后均通过管道流入内科污水处理站集中处理达标后排放。两个污水处理站环保总投资262.35万元。</w:t>
      </w:r>
      <w:r>
        <w:rPr>
          <w:rFonts w:hint="eastAsia" w:ascii="方正仿宋_GBK" w:eastAsia="方正仿宋_GBK"/>
          <w:sz w:val="28"/>
          <w:szCs w:val="28"/>
          <w:lang w:val="en-US" w:eastAsia="zh-CN"/>
        </w:rPr>
        <w:t>我院设置1个医疗废水处理站出口</w:t>
      </w:r>
      <w:r>
        <w:rPr>
          <w:rFonts w:hint="eastAsia" w:ascii="方正仿宋_GBK" w:eastAsia="方正仿宋_GBK"/>
          <w:sz w:val="28"/>
          <w:szCs w:val="28"/>
          <w:lang w:eastAsia="zh-CN"/>
        </w:rPr>
        <w:t>，</w:t>
      </w:r>
      <w:r>
        <w:rPr>
          <w:rFonts w:hint="eastAsia" w:ascii="方正仿宋_GBK" w:eastAsia="方正仿宋_GBK"/>
          <w:sz w:val="28"/>
          <w:szCs w:val="28"/>
          <w:lang w:val="en-US" w:eastAsia="zh-CN"/>
        </w:rPr>
        <w:t>编号为RCWSF0018401号，采取连续稳定的排放方式，排入城市污水处理厂。</w:t>
      </w:r>
    </w:p>
    <w:p>
      <w:pPr>
        <w:numPr>
          <w:ilvl w:val="0"/>
          <w:numId w:val="2"/>
        </w:numPr>
        <w:spacing w:line="360" w:lineRule="auto"/>
        <w:rPr>
          <w:rFonts w:hint="eastAsia" w:ascii="方正仿宋_GBK" w:eastAsia="方正仿宋_GBK"/>
          <w:b/>
          <w:bCs/>
          <w:sz w:val="28"/>
          <w:szCs w:val="28"/>
          <w:lang w:val="en-US" w:eastAsia="zh-CN"/>
        </w:rPr>
      </w:pPr>
      <w:r>
        <w:rPr>
          <w:rFonts w:hint="eastAsia" w:ascii="方正仿宋_GBK" w:eastAsia="方正仿宋_GBK"/>
          <w:b/>
          <w:bCs/>
          <w:sz w:val="28"/>
          <w:szCs w:val="28"/>
          <w:lang w:val="en-US" w:eastAsia="zh-CN"/>
        </w:rPr>
        <w:t>运行情况</w:t>
      </w:r>
    </w:p>
    <w:p>
      <w:pPr>
        <w:numPr>
          <w:ilvl w:val="0"/>
          <w:numId w:val="0"/>
        </w:numPr>
        <w:spacing w:line="360" w:lineRule="auto"/>
        <w:rPr>
          <w:rFonts w:hint="default" w:ascii="方正仿宋_GBK" w:eastAsia="方正仿宋_GBK"/>
          <w:sz w:val="28"/>
          <w:szCs w:val="28"/>
          <w:lang w:val="en-US" w:eastAsia="zh-CN"/>
        </w:rPr>
      </w:pPr>
      <w:r>
        <w:rPr>
          <w:rFonts w:hint="eastAsia" w:ascii="方正仿宋_GBK" w:eastAsia="方正仿宋_GBK"/>
          <w:sz w:val="28"/>
          <w:szCs w:val="28"/>
          <w:lang w:val="en-US" w:eastAsia="zh-CN"/>
        </w:rPr>
        <w:t xml:space="preserve">    </w:t>
      </w:r>
      <w:r>
        <w:rPr>
          <w:rFonts w:hint="eastAsia" w:ascii="方正仿宋_GBK" w:eastAsia="方正仿宋_GBK"/>
          <w:sz w:val="32"/>
          <w:szCs w:val="32"/>
        </w:rPr>
        <w:t>全院生活污水、医疗污水经化粪池、污水处理站处理合格后排放市政管网。</w:t>
      </w:r>
      <w:r>
        <w:rPr>
          <w:rFonts w:hint="eastAsia" w:ascii="方正仿宋_GBK" w:eastAsia="方正仿宋_GBK"/>
          <w:color w:val="000000"/>
          <w:sz w:val="32"/>
          <w:szCs w:val="32"/>
        </w:rPr>
        <w:t>其中微生物室的菌种、毒种及血标本经压力蒸汽灭菌处理后，再排入</w:t>
      </w:r>
      <w:r>
        <w:rPr>
          <w:rFonts w:hint="eastAsia" w:ascii="方正仿宋_GBK" w:eastAsia="方正仿宋_GBK"/>
          <w:sz w:val="32"/>
          <w:szCs w:val="32"/>
        </w:rPr>
        <w:t>医院污水处理站，同时做好医疗废水处理的相关记录，并将处理记录归档备查。污水处理专职人员每天对排放的污水进行</w:t>
      </w:r>
      <w:r>
        <w:rPr>
          <w:rFonts w:hint="eastAsia" w:ascii="方正仿宋_GBK" w:eastAsia="方正仿宋_GBK"/>
          <w:sz w:val="32"/>
          <w:szCs w:val="32"/>
          <w:lang w:val="en-US" w:eastAsia="zh-CN"/>
        </w:rPr>
        <w:t>四</w:t>
      </w:r>
      <w:r>
        <w:rPr>
          <w:rFonts w:hint="eastAsia" w:ascii="方正仿宋_GBK" w:eastAsia="方正仿宋_GBK"/>
          <w:sz w:val="32"/>
          <w:szCs w:val="32"/>
        </w:rPr>
        <w:t>次监测，每月对排放的污水进行抽样送医院检验科进行监测，每年外请有资质的</w:t>
      </w:r>
      <w:r>
        <w:rPr>
          <w:rFonts w:hint="eastAsia" w:ascii="方正仿宋_GBK" w:eastAsia="方正仿宋_GBK"/>
          <w:sz w:val="32"/>
          <w:szCs w:val="32"/>
          <w:lang w:val="en-US" w:eastAsia="zh-CN"/>
        </w:rPr>
        <w:t>环保</w:t>
      </w:r>
      <w:r>
        <w:rPr>
          <w:rFonts w:hint="eastAsia" w:ascii="方正仿宋_GBK" w:eastAsia="方正仿宋_GBK"/>
          <w:sz w:val="32"/>
          <w:szCs w:val="32"/>
        </w:rPr>
        <w:t>单位</w:t>
      </w:r>
      <w:r>
        <w:rPr>
          <w:rFonts w:hint="eastAsia" w:ascii="方正仿宋_GBK" w:eastAsia="方正仿宋_GBK"/>
          <w:sz w:val="32"/>
          <w:szCs w:val="32"/>
          <w:lang w:val="en-US" w:eastAsia="zh-CN"/>
        </w:rPr>
        <w:t>及区疾控</w:t>
      </w:r>
      <w:r>
        <w:rPr>
          <w:rFonts w:hint="eastAsia" w:ascii="方正仿宋_GBK" w:eastAsia="方正仿宋_GBK"/>
          <w:sz w:val="32"/>
          <w:szCs w:val="32"/>
        </w:rPr>
        <w:t>对我院排放的污水进行检测。20</w:t>
      </w:r>
      <w:r>
        <w:rPr>
          <w:rFonts w:hint="eastAsia" w:ascii="方正仿宋_GBK" w:eastAsia="方正仿宋_GBK"/>
          <w:sz w:val="32"/>
          <w:szCs w:val="32"/>
          <w:lang w:val="en-US" w:eastAsia="zh-CN"/>
        </w:rPr>
        <w:t>20</w:t>
      </w:r>
      <w:r>
        <w:rPr>
          <w:rFonts w:hint="eastAsia" w:ascii="方正仿宋_GBK" w:eastAsia="方正仿宋_GBK"/>
          <w:sz w:val="32"/>
          <w:szCs w:val="32"/>
        </w:rPr>
        <w:t>年全年抽检样品所检指标均符合《医疗机构水污染排放标准》（GB18466- 2005）中</w:t>
      </w:r>
      <w:r>
        <w:rPr>
          <w:rFonts w:hint="eastAsia" w:ascii="方正仿宋_GBK" w:eastAsia="方正仿宋_GBK"/>
          <w:sz w:val="32"/>
          <w:szCs w:val="32"/>
          <w:lang w:val="en-US" w:eastAsia="zh-CN"/>
        </w:rPr>
        <w:t>表-2</w:t>
      </w:r>
      <w:r>
        <w:rPr>
          <w:rFonts w:hint="eastAsia" w:ascii="方正仿宋_GBK" w:eastAsia="方正仿宋_GBK"/>
          <w:sz w:val="32"/>
          <w:szCs w:val="32"/>
        </w:rPr>
        <w:t>预处</w:t>
      </w:r>
      <w:r>
        <w:rPr>
          <w:rFonts w:hint="eastAsia" w:ascii="方正仿宋_GBK" w:eastAsia="方正仿宋_GBK"/>
          <w:sz w:val="32"/>
          <w:szCs w:val="32"/>
          <w:lang w:val="en-US" w:eastAsia="zh-CN"/>
        </w:rPr>
        <w:t>理标准所规定的排放限值</w:t>
      </w:r>
      <w:r>
        <w:rPr>
          <w:rFonts w:hint="eastAsia" w:ascii="方正仿宋_GBK" w:eastAsia="方正仿宋_GBK"/>
          <w:sz w:val="32"/>
          <w:szCs w:val="32"/>
        </w:rPr>
        <w:t>，污水达标排放。</w:t>
      </w:r>
      <w:r>
        <w:rPr>
          <w:rFonts w:hint="eastAsia" w:ascii="方正仿宋_GBK" w:eastAsia="方正仿宋_GBK"/>
          <w:sz w:val="32"/>
          <w:szCs w:val="32"/>
          <w:lang w:val="en-US" w:eastAsia="zh-CN"/>
        </w:rPr>
        <w:t>详见2020年重庆朕尔医学研究院有限公司检测报告，渝朕综合检字【2020】W0068号；重庆国环环境监测有限公司检测报告，报告编号：CQGH20202159、CQGH20202164；重庆华衡检测认证技术有限公司检测报告，报告编号：CQE20070980251、CQE20070980252。</w:t>
      </w:r>
    </w:p>
    <w:p>
      <w:pPr>
        <w:spacing w:line="360" w:lineRule="auto"/>
        <w:rPr>
          <w:rFonts w:hint="default" w:asciiTheme="minorEastAsia" w:hAnsiTheme="minorEastAsia" w:eastAsiaTheme="minorEastAsia"/>
          <w:b/>
          <w:sz w:val="28"/>
          <w:szCs w:val="24"/>
          <w:lang w:val="en-US" w:eastAsia="zh-CN"/>
        </w:rPr>
      </w:pPr>
      <w:r>
        <w:rPr>
          <w:rFonts w:hint="eastAsia" w:asciiTheme="minorEastAsia" w:hAnsiTheme="minorEastAsia"/>
          <w:b/>
          <w:sz w:val="28"/>
          <w:szCs w:val="24"/>
          <w:lang w:val="en-US" w:eastAsia="zh-CN"/>
        </w:rPr>
        <w:t xml:space="preserve">    </w:t>
      </w:r>
    </w:p>
    <w:p>
      <w:pPr>
        <w:spacing w:line="360" w:lineRule="auto"/>
        <w:rPr>
          <w:rFonts w:hint="eastAsia"/>
        </w:rPr>
      </w:pPr>
    </w:p>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2F4C1"/>
    <w:multiLevelType w:val="singleLevel"/>
    <w:tmpl w:val="AE32F4C1"/>
    <w:lvl w:ilvl="0" w:tentative="0">
      <w:start w:val="3"/>
      <w:numFmt w:val="decimal"/>
      <w:suff w:val="nothing"/>
      <w:lvlText w:val="%1、"/>
      <w:lvlJc w:val="left"/>
    </w:lvl>
  </w:abstractNum>
  <w:abstractNum w:abstractNumId="1">
    <w:nsid w:val="5EA4960C"/>
    <w:multiLevelType w:val="singleLevel"/>
    <w:tmpl w:val="5EA4960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C2"/>
    <w:rsid w:val="00125D94"/>
    <w:rsid w:val="001C0E0A"/>
    <w:rsid w:val="00210D0F"/>
    <w:rsid w:val="00281358"/>
    <w:rsid w:val="002873A4"/>
    <w:rsid w:val="00287FCF"/>
    <w:rsid w:val="002B1FCD"/>
    <w:rsid w:val="002C042D"/>
    <w:rsid w:val="003D40F4"/>
    <w:rsid w:val="003D7635"/>
    <w:rsid w:val="004A1818"/>
    <w:rsid w:val="00687AF3"/>
    <w:rsid w:val="00867A04"/>
    <w:rsid w:val="008E0EA1"/>
    <w:rsid w:val="00AE3D02"/>
    <w:rsid w:val="00B33787"/>
    <w:rsid w:val="00C475C2"/>
    <w:rsid w:val="00CF1F72"/>
    <w:rsid w:val="00E12D01"/>
    <w:rsid w:val="00E94F34"/>
    <w:rsid w:val="04F87C56"/>
    <w:rsid w:val="1DD17BC6"/>
    <w:rsid w:val="39C87B3A"/>
    <w:rsid w:val="4D3C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正文_18"/>
    <w:qFormat/>
    <w:uiPriority w:val="0"/>
    <w:pPr>
      <w:widowControl w:val="0"/>
      <w:jc w:val="both"/>
    </w:pPr>
    <w:rPr>
      <w:rFonts w:ascii="等线" w:hAnsi="等线" w:eastAsia="等线" w:cs="Times New Roman"/>
      <w:kern w:val="2"/>
      <w:sz w:val="21"/>
      <w:szCs w:val="22"/>
      <w:lang w:val="en-US" w:eastAsia="zh-CN" w:bidi="ar-SA"/>
    </w:rPr>
  </w:style>
  <w:style w:type="paragraph" w:customStyle="1" w:styleId="7">
    <w:name w:val="正文_5"/>
    <w:qFormat/>
    <w:uiPriority w:val="0"/>
    <w:pPr>
      <w:widowControl w:val="0"/>
      <w:jc w:val="both"/>
    </w:pPr>
    <w:rPr>
      <w:rFonts w:ascii="Calibri" w:hAnsi="Calibri" w:eastAsia="宋体" w:cs="Times New Roman"/>
      <w:kern w:val="2"/>
      <w:sz w:val="21"/>
      <w:szCs w:val="20"/>
      <w:lang w:val="en-US" w:eastAsia="zh-CN" w:bidi="ar-SA"/>
    </w:rPr>
  </w:style>
  <w:style w:type="character" w:customStyle="1" w:styleId="8">
    <w:name w:val="页眉 Char"/>
    <w:basedOn w:val="5"/>
    <w:link w:val="3"/>
    <w:uiPriority w:val="99"/>
    <w:rPr>
      <w:sz w:val="18"/>
      <w:szCs w:val="18"/>
    </w:rPr>
  </w:style>
  <w:style w:type="character" w:customStyle="1" w:styleId="9">
    <w:name w:val="页脚 Char"/>
    <w:basedOn w:val="5"/>
    <w:link w:val="2"/>
    <w:qFormat/>
    <w:uiPriority w:val="99"/>
    <w:rPr>
      <w:sz w:val="18"/>
      <w:szCs w:val="18"/>
    </w:rPr>
  </w:style>
  <w:style w:type="paragraph" w:customStyle="1" w:styleId="10">
    <w:name w:val="正文_15"/>
    <w:qFormat/>
    <w:uiPriority w:val="0"/>
    <w:pPr>
      <w:widowControl w:val="0"/>
      <w:jc w:val="both"/>
    </w:pPr>
    <w:rPr>
      <w:rFonts w:ascii="Calibri" w:hAnsi="Calibri" w:eastAsia="宋体" w:cs="Times New Roman"/>
      <w:kern w:val="2"/>
      <w:sz w:val="21"/>
      <w:szCs w:val="20"/>
      <w:lang w:val="en-US" w:eastAsia="zh-CN" w:bidi="ar-SA"/>
    </w:rPr>
  </w:style>
  <w:style w:type="paragraph" w:customStyle="1" w:styleId="11">
    <w:name w:val="正文_12"/>
    <w:qFormat/>
    <w:uiPriority w:val="0"/>
    <w:pPr>
      <w:widowControl w:val="0"/>
      <w:jc w:val="both"/>
    </w:pPr>
    <w:rPr>
      <w:rFonts w:ascii="Calibri" w:hAnsi="Calibri" w:eastAsia="宋体" w:cs="Times New Roman"/>
      <w:kern w:val="2"/>
      <w:sz w:val="21"/>
      <w:szCs w:val="20"/>
      <w:lang w:val="en-US" w:eastAsia="zh-CN" w:bidi="ar-SA"/>
    </w:rPr>
  </w:style>
  <w:style w:type="paragraph" w:customStyle="1" w:styleId="12">
    <w:name w:val="正文_16"/>
    <w:qFormat/>
    <w:uiPriority w:val="0"/>
    <w:pPr>
      <w:widowControl w:val="0"/>
      <w:jc w:val="both"/>
    </w:pPr>
    <w:rPr>
      <w:rFonts w:ascii="Calibri" w:hAnsi="Calibri" w:eastAsia="宋体" w:cs="Times New Roman"/>
      <w:kern w:val="2"/>
      <w:sz w:val="21"/>
      <w:szCs w:val="20"/>
      <w:lang w:val="en-US" w:eastAsia="zh-CN" w:bidi="ar-SA"/>
    </w:rPr>
  </w:style>
  <w:style w:type="paragraph" w:customStyle="1" w:styleId="13">
    <w:name w:val="正文_7"/>
    <w:qFormat/>
    <w:uiPriority w:val="0"/>
    <w:pPr>
      <w:widowControl w:val="0"/>
      <w:jc w:val="both"/>
    </w:pPr>
    <w:rPr>
      <w:rFonts w:ascii="Calibri" w:hAnsi="Calibri" w:eastAsia="宋体" w:cs="Times New Roman"/>
      <w:kern w:val="2"/>
      <w:sz w:val="21"/>
      <w:szCs w:val="20"/>
      <w:lang w:val="en-US" w:eastAsia="zh-CN" w:bidi="ar-SA"/>
    </w:rPr>
  </w:style>
  <w:style w:type="paragraph" w:customStyle="1" w:styleId="14">
    <w:name w:val="正文_8"/>
    <w:qFormat/>
    <w:uiPriority w:val="0"/>
    <w:pPr>
      <w:widowControl w:val="0"/>
      <w:jc w:val="both"/>
    </w:pPr>
    <w:rPr>
      <w:rFonts w:ascii="Calibri" w:hAnsi="Calibri" w:eastAsia="宋体" w:cs="Times New Roman"/>
      <w:kern w:val="2"/>
      <w:sz w:val="21"/>
      <w:szCs w:val="20"/>
      <w:lang w:val="en-US" w:eastAsia="zh-CN" w:bidi="ar-SA"/>
    </w:rPr>
  </w:style>
  <w:style w:type="paragraph" w:customStyle="1" w:styleId="15">
    <w:name w:val="正文_11"/>
    <w:qFormat/>
    <w:uiPriority w:val="0"/>
    <w:pPr>
      <w:widowControl w:val="0"/>
      <w:jc w:val="both"/>
    </w:pPr>
    <w:rPr>
      <w:rFonts w:ascii="Calibri" w:hAnsi="Calibri"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769</Words>
  <Characters>4388</Characters>
  <Lines>36</Lines>
  <Paragraphs>10</Paragraphs>
  <TotalTime>55</TotalTime>
  <ScaleCrop>false</ScaleCrop>
  <LinksUpToDate>false</LinksUpToDate>
  <CharactersWithSpaces>5147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2020-07-23T01:05:00Z</dcterms:created>
  <dc:creator>胖胖</dc:creator>
  <cp:lastModifiedBy>yxc</cp:lastModifiedBy>
  <dcterms:modified xsi:type="dcterms:W3CDTF">2021-06-29T07:35:55Z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6635E50D0A144DE48E4ACA73D319D45F</vt:lpwstr>
  </property>
  <property fmtid="{D5CDD505-2E9C-101B-9397-08002B2CF9AE}" pid="4" name="KSOSaveFontToCloudKey">
    <vt:lpwstr>447631154_cloud</vt:lpwstr>
  </property>
</Properties>
</file>